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23" w:rsidRDefault="00C06B23" w:rsidP="00C06B23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Утверждена</w:t>
      </w:r>
    </w:p>
    <w:p w:rsidR="00C06B23" w:rsidRDefault="00C06B23" w:rsidP="00C06B23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постановлением администрации</w:t>
      </w:r>
    </w:p>
    <w:p w:rsidR="00C06B23" w:rsidRDefault="00C06B23" w:rsidP="00C06B23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Березовского городского округа </w:t>
      </w:r>
    </w:p>
    <w:p w:rsidR="00C06B23" w:rsidRDefault="00684FA4" w:rsidP="00C06B23">
      <w:pPr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11.12.2023 №1356</w:t>
      </w:r>
    </w:p>
    <w:p w:rsidR="00C06B23" w:rsidRDefault="00C06B23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30276" w:rsidRDefault="00030276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30276" w:rsidRDefault="00030276" w:rsidP="00C06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84FA4" w:rsidRDefault="00684FA4" w:rsidP="00684FA4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</w:t>
      </w:r>
    </w:p>
    <w:p w:rsidR="00684FA4" w:rsidRDefault="00684FA4" w:rsidP="00684F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лесного контроля на территории Березовского городского округа 2024 год</w:t>
      </w:r>
    </w:p>
    <w:p w:rsidR="00684FA4" w:rsidRDefault="00684FA4" w:rsidP="00684FA4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030276" w:rsidRDefault="00030276" w:rsidP="00684FA4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2024 год в сфере муниципального лесного контроля на территории Березовского городского округа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отделом муниципального земельного и лесного контроля администрации Березовского городского округа.</w:t>
      </w:r>
    </w:p>
    <w:p w:rsidR="00684FA4" w:rsidRDefault="00684FA4" w:rsidP="00684FA4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84FA4" w:rsidRDefault="00684FA4" w:rsidP="00684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1.Анализ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84FA4" w:rsidRP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4F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Вид муниципального контроля – муниципальный лесной контроль. </w:t>
      </w:r>
      <w:r w:rsidRPr="00684F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684FA4" w:rsidRP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4F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лесной контроль на территории Березовского городского округа осуществляет отдел муниципального земельного и лесного контроля администрации Березовского городского округа (далее – орган муниципального контроля).</w:t>
      </w:r>
    </w:p>
    <w:p w:rsidR="00684FA4" w:rsidRPr="00684FA4" w:rsidRDefault="00684FA4" w:rsidP="00684F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FA4">
        <w:rPr>
          <w:rFonts w:ascii="Times New Roman" w:hAnsi="Times New Roman" w:cs="Times New Roman"/>
          <w:sz w:val="28"/>
          <w:szCs w:val="28"/>
        </w:rPr>
        <w:t>Предметом муниципального лесного контроля (далее – муниципальный контроль)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 в области использования, охраны, защиты</w:t>
      </w:r>
      <w:proofErr w:type="gramEnd"/>
      <w:r w:rsidRPr="00684FA4">
        <w:rPr>
          <w:rFonts w:ascii="Times New Roman" w:hAnsi="Times New Roman" w:cs="Times New Roman"/>
          <w:sz w:val="28"/>
          <w:szCs w:val="28"/>
        </w:rPr>
        <w:t>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 w:rsidR="00684FA4" w:rsidRPr="00684FA4" w:rsidRDefault="00684FA4" w:rsidP="00684F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муниципального контроля являются (далее – объекты контроля):</w:t>
      </w:r>
    </w:p>
    <w:p w:rsidR="00684FA4" w:rsidRP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1)деятельность, </w:t>
      </w:r>
      <w:r w:rsidRPr="00684FA4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(бездействие) </w:t>
      </w:r>
      <w:r w:rsidRPr="00684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 в сфере лесного хозяйства;</w:t>
      </w:r>
    </w:p>
    <w:p w:rsidR="00684FA4" w:rsidRP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FA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84FA4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684FA4" w:rsidRP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являются организации, граждане, осуществляющие деятельность в сфере лесного хозяйства.</w:t>
      </w:r>
    </w:p>
    <w:p w:rsidR="00684FA4" w:rsidRP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FA4">
        <w:rPr>
          <w:rFonts w:ascii="Times New Roman" w:hAnsi="Times New Roman" w:cs="Times New Roman"/>
          <w:sz w:val="28"/>
          <w:szCs w:val="28"/>
        </w:rPr>
        <w:t xml:space="preserve">Приказом Рослесхоза от 10.09.2020 №845 «О создании лесничества на землях населенных пунктов города Березовский муниципального образования Березовский городской округ Свердловской области, занятых городскими лесами, и установлении его границ» определено, что на землях населенных пунктов города Березовского муниципального образования Березовский городской округ Свердловской области, занятых городскими лесами, </w:t>
      </w:r>
      <w:proofErr w:type="spellStart"/>
      <w:r w:rsidRPr="00684FA4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684FA4">
        <w:rPr>
          <w:rFonts w:ascii="Times New Roman" w:hAnsi="Times New Roman" w:cs="Times New Roman"/>
          <w:sz w:val="28"/>
          <w:szCs w:val="28"/>
        </w:rPr>
        <w:t xml:space="preserve"> городское лесничество, площадью 1237 га, установлены границы Березовского городского лесничества. </w:t>
      </w:r>
      <w:proofErr w:type="gramEnd"/>
    </w:p>
    <w:p w:rsidR="00684FA4" w:rsidRP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4">
        <w:rPr>
          <w:rFonts w:ascii="Times New Roman" w:hAnsi="Times New Roman" w:cs="Times New Roman"/>
          <w:sz w:val="28"/>
          <w:szCs w:val="28"/>
        </w:rPr>
        <w:t>В соответствии со ст.84 Лесного кодекса Российской Федерации к полномочиям органов местного самоуправления в отношении лесных участков, находящихся в муниципальной собственности, относится осуществление муниципального лесного контроля в отношении таких лесных участков.</w:t>
      </w:r>
    </w:p>
    <w:p w:rsidR="00684FA4" w:rsidRP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4">
        <w:rPr>
          <w:rFonts w:ascii="Times New Roman" w:hAnsi="Times New Roman" w:cs="Times New Roman"/>
          <w:sz w:val="28"/>
          <w:szCs w:val="28"/>
        </w:rPr>
        <w:t xml:space="preserve">Право собственности на городские леса Березовского городского округа не зарегистрировано. Арендаторы земельных участков, занятых городскими лесами, отсутствуют, система </w:t>
      </w:r>
      <w:proofErr w:type="gramStart"/>
      <w:r w:rsidRPr="00684FA4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684FA4">
        <w:rPr>
          <w:rFonts w:ascii="Times New Roman" w:hAnsi="Times New Roman" w:cs="Times New Roman"/>
          <w:sz w:val="28"/>
          <w:szCs w:val="28"/>
        </w:rPr>
        <w:t xml:space="preserve"> и управления рисками при осуществлении муниципального лесного контроля не применяется, муниципальный лесной контроль осуществляется без проведения плановых контрольных мероприятий. </w:t>
      </w:r>
    </w:p>
    <w:p w:rsidR="00684FA4" w:rsidRPr="00684FA4" w:rsidRDefault="00684FA4" w:rsidP="00684FA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84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исполнение </w:t>
      </w:r>
      <w:r w:rsidRPr="00684FA4">
        <w:rPr>
          <w:rFonts w:ascii="Times New Roman" w:hAnsi="Times New Roman" w:cs="Times New Roman"/>
          <w:sz w:val="28"/>
          <w:szCs w:val="28"/>
        </w:rPr>
        <w:t xml:space="preserve">ст.44 Федерального закона от 31 июля 2020 года №248-ФЗ «О государственном контроле (надзоре) и муниципальном контроле в Российской Федерации» (далее – 248-ФЗ) </w:t>
      </w:r>
      <w:r w:rsidRPr="00684FA4">
        <w:rPr>
          <w:rFonts w:ascii="Times New Roman" w:hAnsi="Times New Roman" w:cs="Times New Roman"/>
          <w:color w:val="000000" w:themeColor="text1"/>
          <w:sz w:val="28"/>
          <w:szCs w:val="28"/>
        </w:rPr>
        <w:t>отделом муниципального земельного и лесного контроля  администрации Березовского городского округа постановлением администрации Березовского городского округа от 23.11.2022 №1264 утверждена п</w:t>
      </w:r>
      <w:r w:rsidRPr="00684FA4">
        <w:rPr>
          <w:rFonts w:ascii="Times New Roman" w:hAnsi="Times New Roman" w:cs="Times New Roman"/>
          <w:sz w:val="28"/>
          <w:szCs w:val="28"/>
        </w:rPr>
        <w:t xml:space="preserve">рограмма профилактики </w:t>
      </w:r>
      <w:r w:rsidRPr="00684F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 причинения вреда (ущерба) охраняемым законом ценностям в сфере муниципального лесного контроля на территории Березовского</w:t>
      </w:r>
      <w:proofErr w:type="gramEnd"/>
      <w:r w:rsidRPr="00684FA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округа 2023 год </w:t>
      </w:r>
      <w:r w:rsidRPr="00684FA4">
        <w:rPr>
          <w:rFonts w:ascii="Times New Roman" w:hAnsi="Times New Roman" w:cs="Times New Roman"/>
          <w:sz w:val="28"/>
          <w:szCs w:val="28"/>
        </w:rPr>
        <w:t xml:space="preserve">(далее – Программа).  </w:t>
      </w:r>
    </w:p>
    <w:p w:rsidR="00684FA4" w:rsidRP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A4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Программы отделом муниципального земельного и лесного контроля в период январь – сентябрь проводился мониторинг актуальности </w:t>
      </w:r>
      <w:r w:rsidRPr="00684FA4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консультирование. </w:t>
      </w:r>
      <w:proofErr w:type="gramStart"/>
      <w:r w:rsidRPr="00684FA4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нарушения обязательных требований в адрес контролируемых лиц не направлялись в связи с тем, что </w:t>
      </w:r>
      <w:r w:rsidRPr="00684FA4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готовящихся нарушениях обязательных требований или признаках нарушений обязательных требований в орган муниципального контроля не </w:t>
      </w:r>
      <w:r w:rsidRPr="00684F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поступали, а также отсутствовали подтвержденные данные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684FA4" w:rsidRDefault="00684FA4" w:rsidP="00684FA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684FA4" w:rsidRDefault="00684FA4" w:rsidP="00684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2.Цели и задачи реализации программы профилактики</w:t>
      </w:r>
    </w:p>
    <w:p w:rsidR="00684FA4" w:rsidRDefault="00684FA4" w:rsidP="00684F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:rsidR="00684FA4" w:rsidRPr="00684FA4" w:rsidRDefault="00684FA4" w:rsidP="00684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Целями реализации программы профилактики являются:</w:t>
      </w:r>
    </w:p>
    <w:p w:rsid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Задачами реализации программы профилактики являются:</w:t>
      </w:r>
    </w:p>
    <w:p w:rsid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684FA4" w:rsidRDefault="00684FA4" w:rsidP="00684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84FA4" w:rsidRDefault="00684FA4" w:rsidP="00684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FA4" w:rsidRDefault="00684FA4" w:rsidP="00684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3.Перечень профилактических мероприятий, сроки</w:t>
      </w:r>
    </w:p>
    <w:p w:rsidR="00684FA4" w:rsidRDefault="00684FA4" w:rsidP="00684F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684FA4" w:rsidRDefault="00684FA4" w:rsidP="00684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профилактики).</w:t>
      </w:r>
    </w:p>
    <w:p w:rsidR="00684FA4" w:rsidRDefault="00684FA4" w:rsidP="00684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492"/>
      <w:bookmarkStart w:id="1" w:name="dst100493"/>
      <w:bookmarkStart w:id="2" w:name="dst100494"/>
      <w:bookmarkStart w:id="3" w:name="dst100495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мероприятия, предусмотренные программой профилактики, обязательны для проведения отделом муниципального земельного и лесного контроля.</w:t>
      </w:r>
    </w:p>
    <w:p w:rsidR="00684FA4" w:rsidRDefault="00684FA4" w:rsidP="00684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49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684FA4" w:rsidRDefault="00684FA4" w:rsidP="00684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муниципального контроля проводит следующие профилактические мероприятия:</w:t>
      </w:r>
      <w:bookmarkStart w:id="5" w:name="dst100499"/>
      <w:bookmarkEnd w:id="5"/>
    </w:p>
    <w:p w:rsidR="00684FA4" w:rsidRDefault="00684FA4" w:rsidP="00684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1)информирование;</w:t>
      </w:r>
    </w:p>
    <w:p w:rsidR="00684FA4" w:rsidRDefault="00684FA4" w:rsidP="00684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500"/>
      <w:bookmarkStart w:id="7" w:name="dst100501"/>
      <w:bookmarkStart w:id="8" w:name="dst100502"/>
      <w:bookmarkEnd w:id="6"/>
      <w:bookmarkEnd w:id="7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bookmarkStart w:id="9" w:name="dst100503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предостережения о недопустимости нарушения обязательных требований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предостережение);</w:t>
      </w:r>
    </w:p>
    <w:p w:rsidR="00684FA4" w:rsidRDefault="00684FA4" w:rsidP="00684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3)консультирование.</w:t>
      </w:r>
    </w:p>
    <w:p w:rsidR="00684FA4" w:rsidRDefault="00684FA4" w:rsidP="00684F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3792"/>
        <w:gridCol w:w="1736"/>
        <w:gridCol w:w="1846"/>
      </w:tblGrid>
      <w:tr w:rsidR="00684FA4" w:rsidTr="00A00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 w:rsidP="006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84FA4" w:rsidRPr="00684FA4" w:rsidRDefault="00684FA4" w:rsidP="0068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Сведения о мероприятии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 xml:space="preserve">Ответственный </w:t>
            </w: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Срок исполнения</w:t>
            </w:r>
          </w:p>
        </w:tc>
      </w:tr>
      <w:tr w:rsidR="00684FA4" w:rsidTr="00A00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bookmarkStart w:id="10" w:name="dst100511"/>
            <w:bookmarkEnd w:id="10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путем размещения сведений по вопросам соблюдения обязательных требований, предусмотренных </w:t>
            </w:r>
            <w:proofErr w:type="gramStart"/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3 ст.46 Федерального закона от 31.07.2020 №248-ФЗ «О государственном контроле (надзоре) и муниципальном контроле в Российской Федерации»,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Березовского городского округа в сети Интернет, в средствах массовой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муниципального контроля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 xml:space="preserve"> обязан размещать и поддерживать в актуальном состоянии на официальном сайте в сети «Интернет»: 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  <w:p w:rsidR="00684FA4" w:rsidRPr="00684FA4" w:rsidRDefault="00684FA4" w:rsidP="00684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hyperlink r:id="rId8" w:history="1">
              <w:r w:rsidRPr="00684FA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684FA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от 31.07.2020 № 247-ФЗ. 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профилактики рисков причинения вреда; </w:t>
            </w:r>
          </w:p>
          <w:p w:rsidR="00684FA4" w:rsidRPr="00684FA4" w:rsidRDefault="00684FA4" w:rsidP="00684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 получения консультаций по вопросам соблюдения обязательных 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требований; </w:t>
            </w:r>
          </w:p>
          <w:p w:rsidR="00684FA4" w:rsidRPr="00684FA4" w:rsidRDefault="00684FA4" w:rsidP="00684F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доклад о муниципальном земельном контроле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A4" w:rsidRPr="00684FA4" w:rsidRDefault="00684FA4">
            <w:pPr>
              <w:pStyle w:val="a4"/>
              <w:shd w:val="clear" w:color="auto" w:fill="FFFFFF"/>
              <w:spacing w:line="256" w:lineRule="auto"/>
              <w:jc w:val="center"/>
              <w:rPr>
                <w:color w:val="010101"/>
              </w:rPr>
            </w:pPr>
            <w:r w:rsidRPr="00684FA4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84FA4" w:rsidRPr="00684FA4" w:rsidRDefault="00684FA4">
            <w:pPr>
              <w:pStyle w:val="a4"/>
              <w:shd w:val="clear" w:color="auto" w:fill="FFFFFF"/>
              <w:spacing w:line="256" w:lineRule="auto"/>
              <w:jc w:val="center"/>
              <w:rPr>
                <w:color w:val="010101"/>
              </w:rPr>
            </w:pPr>
            <w:r w:rsidRPr="00684FA4">
              <w:rPr>
                <w:color w:val="010101"/>
              </w:rPr>
              <w:t> </w:t>
            </w:r>
          </w:p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84FA4" w:rsidTr="00A00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 w:rsidP="00684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принять меры по обеспечению соблюдения обязательных требований.</w:t>
            </w:r>
          </w:p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должно содержать указание на соответствующие требования, предусматривающие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 Предостережение не может содержать требование представления контролируемым лицом сведений и документов.</w:t>
            </w:r>
          </w:p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 течение 15 календарных дней с момента получения предостережения вправе подать в отдел муниципального земельного контроля, возражение в отношении указанного предостережения, содержащее следующие сведения: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контрольного органа, в который направляется 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возражение;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фамилию, имя и отчество (последнее 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лица, индивидуального предпринимателя, гражданина (при наличии);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и номер предостережения;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доводы, на основании которых контролируемое лицо </w:t>
            </w:r>
            <w:proofErr w:type="gramStart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согласно</w:t>
            </w:r>
            <w:proofErr w:type="gramEnd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объявленным предостережением;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дату получения предостережения контролируемым лицом;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 подпись и дату.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      </w:r>
          </w:p>
          <w:p w:rsidR="00684FA4" w:rsidRPr="00684FA4" w:rsidRDefault="00684FA4" w:rsidP="00684FA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муниципального земельного контроля в течение 20 календарных дней со дня регистрации возражения: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1)обеспечивает объективное, всестороннее и своевременное рассмотрение возражения, в случае необходимости – с участием контролируемого лица, направившего возражение, или его 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представителя;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2)при необходимости запрашивает документы и материалы в других государственных органах, органах местного самоуправления и у иных лиц;</w:t>
            </w:r>
          </w:p>
          <w:p w:rsidR="00684FA4" w:rsidRPr="00684FA4" w:rsidRDefault="00684FA4" w:rsidP="00684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3)по результатам рассмотрения возражения принимает меры, направленные на восстановление или защиту нарушенных прав и законных интересов контролируемого лица;</w:t>
            </w:r>
          </w:p>
          <w:p w:rsidR="00684FA4" w:rsidRPr="00684FA4" w:rsidRDefault="00684FA4" w:rsidP="00684F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A4" w:rsidRPr="00684FA4" w:rsidRDefault="00684FA4">
            <w:pPr>
              <w:pStyle w:val="a4"/>
              <w:shd w:val="clear" w:color="auto" w:fill="FFFFFF"/>
              <w:spacing w:line="256" w:lineRule="auto"/>
              <w:jc w:val="center"/>
              <w:rPr>
                <w:color w:val="010101"/>
              </w:rPr>
            </w:pPr>
            <w:r w:rsidRPr="00684FA4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84FA4" w:rsidRPr="00684FA4" w:rsidRDefault="00684FA4">
            <w:pPr>
              <w:pStyle w:val="a4"/>
              <w:shd w:val="clear" w:color="auto" w:fill="FFFFFF"/>
              <w:spacing w:line="256" w:lineRule="auto"/>
              <w:jc w:val="center"/>
              <w:rPr>
                <w:color w:val="01010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spellStart"/>
            <w:proofErr w:type="gramStart"/>
            <w:r w:rsidRPr="00684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r w:rsidR="00A00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84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proofErr w:type="gramEnd"/>
            <w:r w:rsidRPr="00684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4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законодательст</w:t>
            </w:r>
            <w:r w:rsidR="00A00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84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="00A004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spellEnd"/>
          </w:p>
        </w:tc>
      </w:tr>
      <w:tr w:rsidR="00684FA4" w:rsidTr="00A00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</w:t>
            </w:r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контроля, 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устной и письменной форме без взимания платы. </w:t>
            </w:r>
          </w:p>
          <w:p w:rsidR="00684FA4" w:rsidRPr="00684FA4" w:rsidRDefault="00684FA4" w:rsidP="00684FA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 устной форме проводится должностными лицами по телефону, посредством </w:t>
            </w:r>
            <w:proofErr w:type="spellStart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684FA4" w:rsidRPr="00684FA4" w:rsidRDefault="00684FA4" w:rsidP="0068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1" w:name="dst100556"/>
            <w:bookmarkEnd w:id="1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естонахождение,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Березовского городского округа в сети Интернет – (березовский.рф) и адреса электронной почты;</w:t>
            </w:r>
          </w:p>
          <w:p w:rsidR="00684FA4" w:rsidRPr="00684FA4" w:rsidRDefault="00684FA4" w:rsidP="0068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рафик работы 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земельного контроля</w:t>
            </w:r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684FA4" w:rsidRPr="00684FA4" w:rsidRDefault="00684FA4" w:rsidP="0068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684FA4" w:rsidRPr="00684FA4" w:rsidRDefault="00684FA4" w:rsidP="0068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еречень 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актов, регулирующих </w:t>
            </w:r>
            <w:r w:rsidRPr="00684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муниципального контроля;</w:t>
            </w:r>
          </w:p>
          <w:p w:rsidR="00684FA4" w:rsidRPr="00684FA4" w:rsidRDefault="00684FA4" w:rsidP="0068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4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еречень актов, содержащих обязательные требования.</w:t>
            </w:r>
          </w:p>
          <w:p w:rsidR="00684FA4" w:rsidRPr="00684FA4" w:rsidRDefault="00684FA4" w:rsidP="00684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дминистрацию Березовского городского округа о предоставлении письменного ответа в порядке, установленном Федеральным </w:t>
            </w:r>
            <w:hyperlink r:id="rId9" w:anchor="dst0" w:history="1">
              <w:r w:rsidRPr="00684FA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законом</w:t>
              </w:r>
            </w:hyperlink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02.05.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№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59-ФЗ «О порядке рассмотрения обращений граждан Российской Федерации».</w:t>
            </w:r>
          </w:p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st100559"/>
            <w:bookmarkStart w:id="13" w:name="dst100558"/>
            <w:bookmarkEnd w:id="12"/>
            <w:bookmarkEnd w:id="13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отдела муниципального земельного контроля, иных участников контрольного мероприятия, а также результаты проведенной в рамках контрольного мероприятия экспертизы.</w:t>
            </w:r>
          </w:p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st100562"/>
            <w:bookmarkStart w:id="15" w:name="dst100561"/>
            <w:bookmarkStart w:id="16" w:name="dst100560"/>
            <w:bookmarkEnd w:id="14"/>
            <w:bookmarkEnd w:id="15"/>
            <w:bookmarkEnd w:id="16"/>
            <w:proofErr w:type="gramStart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вопросам: </w:t>
            </w:r>
            <w:proofErr w:type="gramEnd"/>
          </w:p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снование отнесения объекта, принадлежащего или используемого контролируемым лицом, к категории риска;</w:t>
            </w:r>
          </w:p>
          <w:p w:rsidR="00684FA4" w:rsidRPr="00684FA4" w:rsidRDefault="00684FA4" w:rsidP="00684FA4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8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запланированных контрольных мероприятий в отношении объектов контроля, принадлежащего или используемого контролируемым лицом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A4" w:rsidRDefault="00684FA4">
            <w:pPr>
              <w:pStyle w:val="a4"/>
              <w:shd w:val="clear" w:color="auto" w:fill="FFFFFF"/>
              <w:spacing w:line="256" w:lineRule="auto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84FA4" w:rsidRDefault="00684FA4">
            <w:pPr>
              <w:pStyle w:val="a4"/>
              <w:shd w:val="clear" w:color="auto" w:fill="FFFFFF"/>
              <w:spacing w:line="256" w:lineRule="auto"/>
              <w:jc w:val="center"/>
              <w:rPr>
                <w:color w:val="01010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4FA4" w:rsidRDefault="00684F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00497" w:rsidRDefault="00A00497" w:rsidP="00A004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504"/>
      <w:bookmarkStart w:id="18" w:name="dst100505"/>
      <w:bookmarkStart w:id="19" w:name="dst100506"/>
      <w:bookmarkStart w:id="20" w:name="dst100507"/>
      <w:bookmarkStart w:id="21" w:name="dst100508"/>
      <w:bookmarkStart w:id="22" w:name="dst100512"/>
      <w:bookmarkStart w:id="23" w:name="dst100549"/>
      <w:bookmarkStart w:id="24" w:name="dst100550"/>
      <w:bookmarkStart w:id="25" w:name="dst10055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84FA4" w:rsidRDefault="00A00497" w:rsidP="00A00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0049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84FA4" w:rsidRPr="00A004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A00497" w:rsidRPr="00A00497" w:rsidRDefault="00A00497" w:rsidP="00A00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7513"/>
        <w:gridCol w:w="1701"/>
      </w:tblGrid>
      <w:tr w:rsidR="00684FA4" w:rsidTr="00A004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497" w:rsidRDefault="00684FA4" w:rsidP="00A00497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84FA4" w:rsidRDefault="00684FA4" w:rsidP="00A00497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FA4" w:rsidRDefault="00684FA4" w:rsidP="00A00497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FA4" w:rsidRDefault="00684FA4" w:rsidP="00A00497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84FA4" w:rsidTr="00A00497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FA4" w:rsidRDefault="00684FA4" w:rsidP="00A00497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497" w:rsidRDefault="00684FA4" w:rsidP="00A00497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</w:t>
            </w:r>
            <w:r w:rsidR="00A00497">
              <w:rPr>
                <w:rFonts w:ascii="Times New Roman" w:hAnsi="Times New Roman" w:cs="Times New Roman"/>
                <w:sz w:val="24"/>
                <w:szCs w:val="24"/>
              </w:rPr>
              <w:t>азмещенной на официальном сайте</w:t>
            </w:r>
          </w:p>
          <w:p w:rsidR="00A00497" w:rsidRDefault="00684FA4" w:rsidP="00A00497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 в сети «Инте</w:t>
            </w:r>
            <w:r w:rsidR="00A00497">
              <w:rPr>
                <w:rFonts w:ascii="Times New Roman" w:hAnsi="Times New Roman" w:cs="Times New Roman"/>
                <w:sz w:val="24"/>
                <w:szCs w:val="24"/>
              </w:rPr>
              <w:t>рнет» в соответствии с частью 3</w:t>
            </w:r>
          </w:p>
          <w:p w:rsidR="00A00497" w:rsidRDefault="00684FA4" w:rsidP="00A00497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46 Федеральн</w:t>
            </w:r>
            <w:r w:rsidR="00A00497">
              <w:rPr>
                <w:rFonts w:ascii="Times New Roman" w:hAnsi="Times New Roman" w:cs="Times New Roman"/>
                <w:sz w:val="24"/>
                <w:szCs w:val="24"/>
              </w:rPr>
              <w:t>ого закона от 31 июля 2021 г. №248-ФЗ «О</w:t>
            </w:r>
          </w:p>
          <w:p w:rsidR="00684FA4" w:rsidRDefault="00684FA4" w:rsidP="00A00497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(надзоре) и муниципальном 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FA4" w:rsidRDefault="00684FA4" w:rsidP="00A00497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684FA4" w:rsidTr="00A004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FA4" w:rsidRDefault="00684FA4" w:rsidP="00A00497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FA4" w:rsidRDefault="00684FA4" w:rsidP="00A00497">
            <w:pPr>
              <w:autoSpaceDE w:val="0"/>
              <w:spacing w:after="0" w:line="240" w:lineRule="auto"/>
              <w:ind w:hanging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FA4" w:rsidRDefault="00684FA4" w:rsidP="00A00497">
            <w:pPr>
              <w:autoSpaceDE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684FA4" w:rsidRDefault="00684FA4" w:rsidP="0068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5983" w:rsidRPr="004A4714" w:rsidRDefault="00145983" w:rsidP="00684FA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45983" w:rsidRPr="004A4714" w:rsidSect="00840CE4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8C" w:rsidRDefault="008F6F8C" w:rsidP="00840CE4">
      <w:pPr>
        <w:spacing w:after="0" w:line="240" w:lineRule="auto"/>
      </w:pPr>
      <w:r>
        <w:separator/>
      </w:r>
    </w:p>
  </w:endnote>
  <w:endnote w:type="continuationSeparator" w:id="0">
    <w:p w:rsidR="008F6F8C" w:rsidRDefault="008F6F8C" w:rsidP="0084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8C" w:rsidRDefault="008F6F8C" w:rsidP="00840CE4">
      <w:pPr>
        <w:spacing w:after="0" w:line="240" w:lineRule="auto"/>
      </w:pPr>
      <w:r>
        <w:separator/>
      </w:r>
    </w:p>
  </w:footnote>
  <w:footnote w:type="continuationSeparator" w:id="0">
    <w:p w:rsidR="008F6F8C" w:rsidRDefault="008F6F8C" w:rsidP="0084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76744"/>
      <w:docPartObj>
        <w:docPartGallery w:val="Page Numbers (Top of Page)"/>
        <w:docPartUnique/>
      </w:docPartObj>
    </w:sdtPr>
    <w:sdtContent>
      <w:p w:rsidR="00840CE4" w:rsidRDefault="00886FB7">
        <w:pPr>
          <w:pStyle w:val="a8"/>
          <w:jc w:val="center"/>
        </w:pPr>
        <w:fldSimple w:instr=" PAGE   \* MERGEFORMAT ">
          <w:r w:rsidR="00030276">
            <w:rPr>
              <w:noProof/>
            </w:rPr>
            <w:t>9</w:t>
          </w:r>
        </w:fldSimple>
      </w:p>
    </w:sdtContent>
  </w:sdt>
  <w:p w:rsidR="00840CE4" w:rsidRDefault="00840C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6CBA"/>
    <w:multiLevelType w:val="hybridMultilevel"/>
    <w:tmpl w:val="ED9C2D16"/>
    <w:lvl w:ilvl="0" w:tplc="2E1410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79A22B0"/>
    <w:multiLevelType w:val="hybridMultilevel"/>
    <w:tmpl w:val="25822F2C"/>
    <w:lvl w:ilvl="0" w:tplc="BAF4C9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73"/>
    <w:rsid w:val="00030276"/>
    <w:rsid w:val="00053819"/>
    <w:rsid w:val="000C3DB8"/>
    <w:rsid w:val="00107AF9"/>
    <w:rsid w:val="00145983"/>
    <w:rsid w:val="001819FF"/>
    <w:rsid w:val="001A278D"/>
    <w:rsid w:val="001B285D"/>
    <w:rsid w:val="001C6B5F"/>
    <w:rsid w:val="001F70AB"/>
    <w:rsid w:val="00241D93"/>
    <w:rsid w:val="00270BA4"/>
    <w:rsid w:val="00273AE6"/>
    <w:rsid w:val="00285B5A"/>
    <w:rsid w:val="002B1428"/>
    <w:rsid w:val="002B492A"/>
    <w:rsid w:val="002C5D93"/>
    <w:rsid w:val="002D4B34"/>
    <w:rsid w:val="002D7F8F"/>
    <w:rsid w:val="002E75D0"/>
    <w:rsid w:val="002F2CFB"/>
    <w:rsid w:val="002F3569"/>
    <w:rsid w:val="00381115"/>
    <w:rsid w:val="003A4BC7"/>
    <w:rsid w:val="003B373E"/>
    <w:rsid w:val="003B42BD"/>
    <w:rsid w:val="00401DB4"/>
    <w:rsid w:val="00476790"/>
    <w:rsid w:val="00480F6E"/>
    <w:rsid w:val="00485821"/>
    <w:rsid w:val="00487297"/>
    <w:rsid w:val="004A4714"/>
    <w:rsid w:val="004B630A"/>
    <w:rsid w:val="0055339F"/>
    <w:rsid w:val="005F2FB3"/>
    <w:rsid w:val="006027F6"/>
    <w:rsid w:val="0061652A"/>
    <w:rsid w:val="00660FF6"/>
    <w:rsid w:val="00684FA4"/>
    <w:rsid w:val="00712A1A"/>
    <w:rsid w:val="00725FEF"/>
    <w:rsid w:val="00761442"/>
    <w:rsid w:val="007D2FF6"/>
    <w:rsid w:val="007E1BFD"/>
    <w:rsid w:val="00807F8B"/>
    <w:rsid w:val="00840CE4"/>
    <w:rsid w:val="00855232"/>
    <w:rsid w:val="00886FB7"/>
    <w:rsid w:val="008909A7"/>
    <w:rsid w:val="008A4F1B"/>
    <w:rsid w:val="008B2CC4"/>
    <w:rsid w:val="008B42EC"/>
    <w:rsid w:val="008F274D"/>
    <w:rsid w:val="008F6F8C"/>
    <w:rsid w:val="00906F1F"/>
    <w:rsid w:val="009420DD"/>
    <w:rsid w:val="00993385"/>
    <w:rsid w:val="009A5B05"/>
    <w:rsid w:val="009A6481"/>
    <w:rsid w:val="009B177C"/>
    <w:rsid w:val="009E22E7"/>
    <w:rsid w:val="00A00497"/>
    <w:rsid w:val="00A2731F"/>
    <w:rsid w:val="00A53516"/>
    <w:rsid w:val="00A71CB0"/>
    <w:rsid w:val="00B14AD1"/>
    <w:rsid w:val="00B20ADA"/>
    <w:rsid w:val="00B36EAF"/>
    <w:rsid w:val="00B41A4E"/>
    <w:rsid w:val="00B54B85"/>
    <w:rsid w:val="00B55351"/>
    <w:rsid w:val="00BC1057"/>
    <w:rsid w:val="00BD26AF"/>
    <w:rsid w:val="00C06B23"/>
    <w:rsid w:val="00C10772"/>
    <w:rsid w:val="00C542AF"/>
    <w:rsid w:val="00CD0020"/>
    <w:rsid w:val="00CD7F73"/>
    <w:rsid w:val="00D35E3D"/>
    <w:rsid w:val="00D80A6E"/>
    <w:rsid w:val="00DB5D55"/>
    <w:rsid w:val="00E13DF1"/>
    <w:rsid w:val="00E2056F"/>
    <w:rsid w:val="00E416A3"/>
    <w:rsid w:val="00E41C3E"/>
    <w:rsid w:val="00EA57FA"/>
    <w:rsid w:val="00EE4D70"/>
    <w:rsid w:val="00F4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27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5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B4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5D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CE4"/>
  </w:style>
  <w:style w:type="paragraph" w:styleId="aa">
    <w:name w:val="footer"/>
    <w:basedOn w:val="a"/>
    <w:link w:val="ab"/>
    <w:uiPriority w:val="99"/>
    <w:semiHidden/>
    <w:unhideWhenUsed/>
    <w:rsid w:val="0084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0CE4"/>
  </w:style>
  <w:style w:type="character" w:styleId="ac">
    <w:name w:val="Hyperlink"/>
    <w:basedOn w:val="a0"/>
    <w:uiPriority w:val="99"/>
    <w:semiHidden/>
    <w:unhideWhenUsed/>
    <w:rsid w:val="00684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8577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8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2325-3947-4C60-9A7E-EC6D445F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 С.В.</dc:creator>
  <cp:lastModifiedBy>Людмила</cp:lastModifiedBy>
  <cp:revision>8</cp:revision>
  <cp:lastPrinted>2023-12-12T04:11:00Z</cp:lastPrinted>
  <dcterms:created xsi:type="dcterms:W3CDTF">2023-12-11T12:14:00Z</dcterms:created>
  <dcterms:modified xsi:type="dcterms:W3CDTF">2023-12-12T06:27:00Z</dcterms:modified>
</cp:coreProperties>
</file>