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50"/>
        <w:tblW w:w="0" w:type="auto"/>
        <w:tblLook w:val="04A0" w:firstRow="1" w:lastRow="0" w:firstColumn="1" w:lastColumn="0" w:noHBand="0" w:noVBand="1"/>
      </w:tblPr>
      <w:tblGrid>
        <w:gridCol w:w="844"/>
        <w:gridCol w:w="979"/>
        <w:gridCol w:w="2616"/>
        <w:gridCol w:w="1249"/>
        <w:gridCol w:w="1249"/>
        <w:gridCol w:w="1232"/>
        <w:gridCol w:w="6684"/>
      </w:tblGrid>
      <w:tr w:rsidR="00F416FD" w:rsidTr="00527AAD">
        <w:trPr>
          <w:trHeight w:val="10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6FD" w:rsidRDefault="00F416FD" w:rsidP="00527AAD">
            <w:pPr>
              <w:contextualSpacing w:val="0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6FD" w:rsidRDefault="00F416FD" w:rsidP="00527AAD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6FD" w:rsidRDefault="00F416FD" w:rsidP="00527A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6FD" w:rsidRDefault="00F416FD" w:rsidP="00527A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6FD" w:rsidRDefault="00F416FD" w:rsidP="00527A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6FD" w:rsidRDefault="00F416FD" w:rsidP="00527AAD">
            <w:pPr>
              <w:rPr>
                <w:sz w:val="20"/>
                <w:szCs w:val="20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3A0" w:rsidRDefault="00E933A0" w:rsidP="00527AAD">
            <w:pPr>
              <w:jc w:val="right"/>
              <w:rPr>
                <w:sz w:val="20"/>
                <w:szCs w:val="20"/>
              </w:rPr>
            </w:pPr>
          </w:p>
          <w:p w:rsidR="00E933A0" w:rsidRPr="00AD61FC" w:rsidRDefault="00E933A0" w:rsidP="00527AAD">
            <w:pPr>
              <w:spacing w:after="0" w:line="240" w:lineRule="auto"/>
              <w:ind w:left="2352"/>
              <w:rPr>
                <w:sz w:val="28"/>
                <w:szCs w:val="28"/>
              </w:rPr>
            </w:pPr>
            <w:r w:rsidRPr="00AD61FC">
              <w:rPr>
                <w:sz w:val="28"/>
                <w:szCs w:val="28"/>
              </w:rPr>
              <w:t>Приложение</w:t>
            </w:r>
          </w:p>
          <w:p w:rsidR="00E933A0" w:rsidRPr="00AD61FC" w:rsidRDefault="00B25457" w:rsidP="00527AAD">
            <w:pPr>
              <w:spacing w:after="0" w:line="240" w:lineRule="auto"/>
              <w:ind w:left="2352"/>
              <w:rPr>
                <w:sz w:val="28"/>
                <w:szCs w:val="28"/>
              </w:rPr>
            </w:pPr>
            <w:r w:rsidRPr="00AD61FC">
              <w:rPr>
                <w:sz w:val="28"/>
                <w:szCs w:val="28"/>
              </w:rPr>
              <w:t>к</w:t>
            </w:r>
            <w:r w:rsidR="00E933A0" w:rsidRPr="00AD61FC">
              <w:rPr>
                <w:sz w:val="28"/>
                <w:szCs w:val="28"/>
              </w:rPr>
              <w:t xml:space="preserve"> постановлению администрации</w:t>
            </w:r>
          </w:p>
          <w:p w:rsidR="00E933A0" w:rsidRPr="00AD61FC" w:rsidRDefault="00E933A0" w:rsidP="00527AAD">
            <w:pPr>
              <w:spacing w:after="0" w:line="240" w:lineRule="auto"/>
              <w:ind w:left="2352"/>
              <w:rPr>
                <w:sz w:val="28"/>
                <w:szCs w:val="28"/>
              </w:rPr>
            </w:pPr>
            <w:r w:rsidRPr="00AD61FC">
              <w:rPr>
                <w:sz w:val="28"/>
                <w:szCs w:val="28"/>
              </w:rPr>
              <w:t>Березо</w:t>
            </w:r>
            <w:r w:rsidR="00AD61FC">
              <w:rPr>
                <w:sz w:val="28"/>
                <w:szCs w:val="28"/>
              </w:rPr>
              <w:t>в</w:t>
            </w:r>
            <w:r w:rsidRPr="00AD61FC">
              <w:rPr>
                <w:sz w:val="28"/>
                <w:szCs w:val="28"/>
              </w:rPr>
              <w:t>ского городского округа</w:t>
            </w:r>
          </w:p>
          <w:p w:rsidR="00E933A0" w:rsidRDefault="00B25457" w:rsidP="00527AAD">
            <w:pPr>
              <w:spacing w:after="0" w:line="240" w:lineRule="auto"/>
              <w:ind w:left="2352"/>
              <w:rPr>
                <w:sz w:val="28"/>
                <w:szCs w:val="28"/>
              </w:rPr>
            </w:pPr>
            <w:r w:rsidRPr="00AD61FC">
              <w:rPr>
                <w:sz w:val="28"/>
                <w:szCs w:val="28"/>
              </w:rPr>
              <w:t>о</w:t>
            </w:r>
            <w:r w:rsidR="00E933A0" w:rsidRPr="00AD61FC">
              <w:rPr>
                <w:sz w:val="28"/>
                <w:szCs w:val="28"/>
              </w:rPr>
              <w:t xml:space="preserve">т </w:t>
            </w:r>
            <w:r w:rsidRPr="00AD61FC">
              <w:rPr>
                <w:sz w:val="28"/>
                <w:szCs w:val="28"/>
              </w:rPr>
              <w:t xml:space="preserve">19.01.2024 </w:t>
            </w:r>
            <w:r w:rsidR="00E933A0" w:rsidRPr="00AD61FC">
              <w:rPr>
                <w:sz w:val="28"/>
                <w:szCs w:val="28"/>
              </w:rPr>
              <w:t>№</w:t>
            </w:r>
            <w:r w:rsidRPr="00AD61FC">
              <w:rPr>
                <w:sz w:val="28"/>
                <w:szCs w:val="28"/>
              </w:rPr>
              <w:t>70</w:t>
            </w:r>
          </w:p>
          <w:p w:rsidR="00527AAD" w:rsidRPr="00AD61FC" w:rsidRDefault="00527AAD" w:rsidP="00527AAD">
            <w:pPr>
              <w:spacing w:after="0" w:line="240" w:lineRule="auto"/>
              <w:ind w:left="2352"/>
              <w:rPr>
                <w:sz w:val="28"/>
                <w:szCs w:val="28"/>
              </w:rPr>
            </w:pPr>
          </w:p>
          <w:p w:rsidR="001311C1" w:rsidRPr="00AD61FC" w:rsidRDefault="00E933A0" w:rsidP="00527AAD">
            <w:pPr>
              <w:spacing w:after="0" w:line="240" w:lineRule="auto"/>
              <w:ind w:left="2352"/>
              <w:rPr>
                <w:sz w:val="28"/>
                <w:szCs w:val="28"/>
              </w:rPr>
            </w:pPr>
            <w:r w:rsidRPr="00AD61FC">
              <w:rPr>
                <w:sz w:val="28"/>
                <w:szCs w:val="28"/>
              </w:rPr>
              <w:t>Приложение №</w:t>
            </w:r>
            <w:r w:rsidR="00F416FD" w:rsidRPr="00AD61FC">
              <w:rPr>
                <w:sz w:val="28"/>
                <w:szCs w:val="28"/>
              </w:rPr>
              <w:t xml:space="preserve">1 </w:t>
            </w:r>
          </w:p>
          <w:p w:rsidR="00F416FD" w:rsidRDefault="00F416FD" w:rsidP="00527AAD">
            <w:pPr>
              <w:spacing w:after="0" w:line="240" w:lineRule="auto"/>
              <w:ind w:left="2352"/>
              <w:rPr>
                <w:sz w:val="20"/>
                <w:szCs w:val="20"/>
              </w:rPr>
            </w:pPr>
            <w:r w:rsidRPr="00AD61FC">
              <w:rPr>
                <w:sz w:val="28"/>
                <w:szCs w:val="28"/>
              </w:rPr>
              <w:t>к муниципальной программе</w:t>
            </w:r>
            <w:r w:rsidRPr="00D4437C">
              <w:rPr>
                <w:sz w:val="24"/>
                <w:szCs w:val="24"/>
              </w:rPr>
              <w:t xml:space="preserve"> </w:t>
            </w:r>
          </w:p>
        </w:tc>
      </w:tr>
      <w:tr w:rsidR="00F416FD" w:rsidTr="00527AAD">
        <w:trPr>
          <w:trHeight w:val="525"/>
        </w:trPr>
        <w:tc>
          <w:tcPr>
            <w:tcW w:w="14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457" w:rsidRPr="001311C1" w:rsidRDefault="00B25457" w:rsidP="00527AA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  <w:p w:rsidR="00AD61FC" w:rsidRDefault="00AD61FC" w:rsidP="00527AA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  <w:p w:rsidR="00F416FD" w:rsidRPr="001311C1" w:rsidRDefault="001311C1" w:rsidP="00527AA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1311C1">
              <w:rPr>
                <w:bCs/>
                <w:sz w:val="28"/>
                <w:szCs w:val="28"/>
              </w:rPr>
              <w:t>Цели, задачи и целевые показатели</w:t>
            </w:r>
          </w:p>
        </w:tc>
      </w:tr>
      <w:tr w:rsidR="00F416FD" w:rsidTr="00527AAD">
        <w:trPr>
          <w:trHeight w:val="255"/>
        </w:trPr>
        <w:tc>
          <w:tcPr>
            <w:tcW w:w="14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6FD" w:rsidRPr="001311C1" w:rsidRDefault="00F416FD" w:rsidP="00527AA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1311C1">
              <w:rPr>
                <w:bCs/>
                <w:sz w:val="28"/>
                <w:szCs w:val="28"/>
              </w:rPr>
              <w:t>реализации муниципальной программы</w:t>
            </w:r>
          </w:p>
        </w:tc>
      </w:tr>
      <w:tr w:rsidR="00F416FD" w:rsidTr="00527AAD">
        <w:trPr>
          <w:trHeight w:val="510"/>
        </w:trPr>
        <w:tc>
          <w:tcPr>
            <w:tcW w:w="14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6FD" w:rsidRPr="001311C1" w:rsidRDefault="00F416FD" w:rsidP="00527AA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311C1">
              <w:rPr>
                <w:sz w:val="28"/>
                <w:szCs w:val="28"/>
              </w:rPr>
              <w:t>«Управление муниципальной собственностью и земельными ресурсами Березовского городского округа до 2028 года»</w:t>
            </w:r>
          </w:p>
        </w:tc>
      </w:tr>
    </w:tbl>
    <w:p w:rsidR="005A6137" w:rsidRDefault="005A6137" w:rsidP="00F416FD">
      <w:pPr>
        <w:spacing w:after="0" w:line="240" w:lineRule="auto"/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1105"/>
        <w:gridCol w:w="2796"/>
        <w:gridCol w:w="1298"/>
        <w:gridCol w:w="874"/>
        <w:gridCol w:w="851"/>
        <w:gridCol w:w="850"/>
        <w:gridCol w:w="709"/>
        <w:gridCol w:w="850"/>
        <w:gridCol w:w="709"/>
        <w:gridCol w:w="3969"/>
      </w:tblGrid>
      <w:tr w:rsidR="00F416FD" w:rsidRPr="00E933A0" w:rsidTr="00C867ED"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contextualSpacing w:val="0"/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F416FD" w:rsidRPr="00E933A0" w:rsidTr="00C867ED"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FD" w:rsidRPr="00E933A0" w:rsidRDefault="00F416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FD" w:rsidRPr="00E933A0" w:rsidRDefault="00F416FD">
            <w:pPr>
              <w:rPr>
                <w:bCs/>
                <w:sz w:val="20"/>
                <w:szCs w:val="20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FD" w:rsidRPr="00E933A0" w:rsidRDefault="00F416F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FD" w:rsidRPr="00E933A0" w:rsidRDefault="00F416FD">
            <w:pPr>
              <w:rPr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FD" w:rsidRPr="00E933A0" w:rsidRDefault="00F416FD">
            <w:pPr>
              <w:rPr>
                <w:bCs/>
                <w:sz w:val="20"/>
                <w:szCs w:val="20"/>
              </w:rPr>
            </w:pPr>
          </w:p>
        </w:tc>
      </w:tr>
    </w:tbl>
    <w:p w:rsidR="00F416FD" w:rsidRPr="00E933A0" w:rsidRDefault="00F416FD"/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1105"/>
        <w:gridCol w:w="2796"/>
        <w:gridCol w:w="1298"/>
        <w:gridCol w:w="874"/>
        <w:gridCol w:w="851"/>
        <w:gridCol w:w="850"/>
        <w:gridCol w:w="709"/>
        <w:gridCol w:w="850"/>
        <w:gridCol w:w="709"/>
        <w:gridCol w:w="3969"/>
      </w:tblGrid>
      <w:tr w:rsidR="00F416FD" w:rsidRPr="00E933A0" w:rsidTr="00F416FD">
        <w:trPr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E933A0" w:rsidRDefault="00F416FD">
            <w:pPr>
              <w:jc w:val="center"/>
              <w:rPr>
                <w:bCs/>
                <w:sz w:val="20"/>
                <w:szCs w:val="20"/>
              </w:rPr>
            </w:pPr>
            <w:r w:rsidRPr="00E933A0">
              <w:rPr>
                <w:bCs/>
                <w:sz w:val="20"/>
                <w:szCs w:val="20"/>
              </w:rPr>
              <w:t>11</w:t>
            </w:r>
          </w:p>
        </w:tc>
      </w:tr>
      <w:tr w:rsidR="00F416FD" w:rsidRPr="00E933A0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Pr="00E933A0" w:rsidRDefault="00F416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Pr="00E933A0" w:rsidRDefault="00F416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Pr="00E933A0" w:rsidRDefault="00E933A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1. «</w:t>
            </w:r>
            <w:r w:rsidR="00F416FD" w:rsidRPr="00E933A0">
              <w:rPr>
                <w:bCs/>
                <w:color w:val="000000"/>
                <w:sz w:val="20"/>
                <w:szCs w:val="20"/>
              </w:rPr>
              <w:t xml:space="preserve">Управление муниципальной собственностью и земельными ресурсами </w:t>
            </w:r>
            <w:r>
              <w:rPr>
                <w:bCs/>
                <w:color w:val="000000"/>
                <w:sz w:val="20"/>
                <w:szCs w:val="20"/>
              </w:rPr>
              <w:t xml:space="preserve"> Березовского городского округа»</w:t>
            </w:r>
          </w:p>
        </w:tc>
      </w:tr>
      <w:tr w:rsidR="00F416FD" w:rsidRPr="00E933A0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Pr="00E933A0" w:rsidRDefault="00F416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Pr="00E933A0" w:rsidRDefault="00F416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Pr="00E933A0" w:rsidRDefault="00E933A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Цель 1.</w:t>
            </w:r>
            <w:r w:rsidR="00F416FD" w:rsidRPr="00E933A0">
              <w:rPr>
                <w:bCs/>
                <w:color w:val="000000"/>
                <w:sz w:val="20"/>
                <w:szCs w:val="20"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Default="00E933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</w:t>
            </w:r>
            <w:r w:rsidR="00F416FD">
              <w:rPr>
                <w:color w:val="000000"/>
                <w:sz w:val="20"/>
                <w:szCs w:val="20"/>
              </w:rPr>
              <w:t>Оптимизация состава муниципального имущества.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 Количество муниципальных унитарных предприятий, осуществляющих хозяйственную деятельность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</w:t>
            </w:r>
            <w:r w:rsidR="00E933A0">
              <w:rPr>
                <w:sz w:val="20"/>
                <w:szCs w:val="20"/>
              </w:rPr>
              <w:t>езидента РФ от 21.12.2017 №618 «</w:t>
            </w:r>
            <w:r>
              <w:rPr>
                <w:sz w:val="20"/>
                <w:szCs w:val="20"/>
              </w:rPr>
              <w:t>Об основных направления</w:t>
            </w:r>
            <w:r w:rsidR="00E77580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государственной п</w:t>
            </w:r>
            <w:r w:rsidR="00E933A0">
              <w:rPr>
                <w:sz w:val="20"/>
                <w:szCs w:val="20"/>
              </w:rPr>
              <w:t>олитики по развитию конкуренции»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2. 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</w:t>
            </w:r>
            <w:r w:rsidR="00E933A0">
              <w:rPr>
                <w:sz w:val="20"/>
                <w:szCs w:val="20"/>
              </w:rPr>
              <w:t>езидента РФ от 21.12.2017 №618 «</w:t>
            </w:r>
            <w:r>
              <w:rPr>
                <w:sz w:val="20"/>
                <w:szCs w:val="20"/>
              </w:rPr>
              <w:t>Об основных направления</w:t>
            </w:r>
            <w:r w:rsidR="00E77580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государственной п</w:t>
            </w:r>
            <w:r w:rsidR="00E933A0">
              <w:rPr>
                <w:sz w:val="20"/>
                <w:szCs w:val="20"/>
              </w:rPr>
              <w:t>олитики по развитию конкуренции»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Целевой показатель 3. Количество организованных и проведенных торгов по продаже муниципального имущества и земельных участков, государственная </w:t>
            </w:r>
            <w:r>
              <w:rPr>
                <w:sz w:val="20"/>
                <w:szCs w:val="20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единицы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Прогнозный план (программа) приватизации муниципального имущества на 2023 год и плановый период 2024 и 2025 годов, утвержденный решением Думы Березовского го</w:t>
            </w:r>
            <w:r w:rsidR="00E933A0">
              <w:rPr>
                <w:sz w:val="20"/>
                <w:szCs w:val="20"/>
              </w:rPr>
              <w:t>родского округа от 24.11.2022 №</w:t>
            </w:r>
            <w:r>
              <w:rPr>
                <w:sz w:val="20"/>
                <w:szCs w:val="20"/>
              </w:rPr>
              <w:t>92 (</w:t>
            </w:r>
            <w:proofErr w:type="spellStart"/>
            <w:r>
              <w:rPr>
                <w:sz w:val="20"/>
                <w:szCs w:val="20"/>
              </w:rPr>
              <w:t>ред.от</w:t>
            </w:r>
            <w:proofErr w:type="spellEnd"/>
            <w:r>
              <w:rPr>
                <w:sz w:val="20"/>
                <w:szCs w:val="20"/>
              </w:rPr>
              <w:t xml:space="preserve"> 27.04.2023 №123), Положение об организации и проведении аукционов по </w:t>
            </w:r>
            <w:r>
              <w:rPr>
                <w:sz w:val="20"/>
                <w:szCs w:val="20"/>
              </w:rPr>
              <w:lastRenderedPageBreak/>
              <w:t>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Решением Думы Березовского го</w:t>
            </w:r>
            <w:r w:rsidR="00E933A0">
              <w:rPr>
                <w:sz w:val="20"/>
                <w:szCs w:val="20"/>
              </w:rPr>
              <w:t>родского округа от 30.07.2015 №</w:t>
            </w:r>
            <w:r>
              <w:rPr>
                <w:sz w:val="20"/>
                <w:szCs w:val="20"/>
              </w:rPr>
              <w:t>250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Default="00E933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</w:t>
            </w:r>
            <w:proofErr w:type="gramStart"/>
            <w:r>
              <w:rPr>
                <w:color w:val="000000"/>
                <w:sz w:val="20"/>
                <w:szCs w:val="20"/>
              </w:rPr>
              <w:t>2.</w:t>
            </w:r>
            <w:r w:rsidR="00F416FD">
              <w:rPr>
                <w:color w:val="000000"/>
                <w:sz w:val="20"/>
                <w:szCs w:val="20"/>
              </w:rPr>
              <w:t>Организация</w:t>
            </w:r>
            <w:proofErr w:type="gramEnd"/>
            <w:r w:rsidR="00F416FD">
              <w:rPr>
                <w:color w:val="000000"/>
                <w:sz w:val="20"/>
                <w:szCs w:val="20"/>
              </w:rPr>
              <w:t xml:space="preserve"> учета и мониторинга муниципального имущества, актуализация сведений реестра муниципального имущества. 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Целевой показатель 1. Количество </w:t>
            </w:r>
            <w:proofErr w:type="spellStart"/>
            <w:r>
              <w:rPr>
                <w:sz w:val="20"/>
                <w:szCs w:val="20"/>
              </w:rPr>
              <w:t>проинвентаризированных</w:t>
            </w:r>
            <w:proofErr w:type="spellEnd"/>
            <w:r>
              <w:rPr>
                <w:sz w:val="20"/>
                <w:szCs w:val="20"/>
              </w:rPr>
              <w:t xml:space="preserve"> и поставленных на кадастровый учет объектов недвижимости, в том числе земельных участков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Целевой показатель 2. Количество объектов бесхозяйного и выморочного имущества, на которые зарегистрировано право собственности Березовского городского округа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Default="00E933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</w:t>
            </w:r>
            <w:r w:rsidR="00F416FD">
              <w:rPr>
                <w:color w:val="000000"/>
                <w:sz w:val="20"/>
                <w:szCs w:val="20"/>
              </w:rPr>
              <w:t>Вовлечение муниципальных активов и земельных участков в хозяйственный оборот.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 Количество земельных участков,  предоставленных в аренду по результатам торгов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кодекс Российской Федерации, Фе</w:t>
            </w:r>
            <w:r w:rsidR="00E933A0">
              <w:rPr>
                <w:sz w:val="20"/>
                <w:szCs w:val="20"/>
              </w:rPr>
              <w:t>деральный закон от 25.10.2001 №</w:t>
            </w:r>
            <w:r w:rsidR="001311C1">
              <w:rPr>
                <w:sz w:val="20"/>
                <w:szCs w:val="20"/>
              </w:rPr>
              <w:t>137-ФЗ  «</w:t>
            </w:r>
            <w:r>
              <w:rPr>
                <w:sz w:val="20"/>
                <w:szCs w:val="20"/>
              </w:rPr>
              <w:t>О введении в действие Земельно</w:t>
            </w:r>
            <w:r w:rsidR="001311C1">
              <w:rPr>
                <w:sz w:val="20"/>
                <w:szCs w:val="20"/>
              </w:rPr>
              <w:t>го кодекса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2. Количество предоставленных в пользование/аренду объектов муниципального нежилого фонда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Pr="00C867ED" w:rsidRDefault="00E933A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«</w:t>
            </w:r>
            <w:r w:rsidR="00F416FD">
              <w:rPr>
                <w:sz w:val="20"/>
                <w:szCs w:val="20"/>
              </w:rPr>
              <w:t>О порядке передачи в аренду муниципального имущества</w:t>
            </w:r>
            <w:r>
              <w:rPr>
                <w:sz w:val="20"/>
                <w:szCs w:val="20"/>
              </w:rPr>
              <w:t xml:space="preserve"> Березовского городского округа»</w:t>
            </w:r>
            <w:r w:rsidR="00F416FD">
              <w:rPr>
                <w:sz w:val="20"/>
                <w:szCs w:val="20"/>
              </w:rPr>
              <w:t xml:space="preserve">, </w:t>
            </w:r>
            <w:r w:rsidR="00F416FD" w:rsidRPr="00731D3D">
              <w:rPr>
                <w:sz w:val="20"/>
                <w:szCs w:val="20"/>
              </w:rPr>
              <w:t>утвержденное Решением Думы Березовского го</w:t>
            </w:r>
            <w:r>
              <w:rPr>
                <w:sz w:val="20"/>
                <w:szCs w:val="20"/>
              </w:rPr>
              <w:t>родского округа от 31.05.2012 №</w:t>
            </w:r>
            <w:r w:rsidR="00F416FD" w:rsidRPr="00731D3D">
              <w:rPr>
                <w:sz w:val="20"/>
                <w:szCs w:val="20"/>
              </w:rPr>
              <w:t>285</w:t>
            </w:r>
            <w:r w:rsidR="00731D3D">
              <w:rPr>
                <w:sz w:val="20"/>
                <w:szCs w:val="20"/>
              </w:rPr>
              <w:t xml:space="preserve"> 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52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13.03.2006  </w:t>
            </w:r>
            <w:r w:rsidR="00E933A0">
              <w:rPr>
                <w:sz w:val="20"/>
                <w:szCs w:val="20"/>
              </w:rPr>
              <w:t>№38-ФЗ «О рекламе», Положение «</w:t>
            </w:r>
            <w:r w:rsidR="00F416FD">
              <w:rPr>
                <w:sz w:val="20"/>
                <w:szCs w:val="20"/>
              </w:rPr>
              <w:t>О порядке проведения торгов, предметом которых является право заключить договор на установку и эксплуатацию рекламной конструкции с использо</w:t>
            </w:r>
            <w:r w:rsidR="00E933A0">
              <w:rPr>
                <w:sz w:val="20"/>
                <w:szCs w:val="20"/>
              </w:rPr>
              <w:t>ванием муниципального имущества»</w:t>
            </w:r>
            <w:r w:rsidR="00F416FD">
              <w:rPr>
                <w:sz w:val="20"/>
                <w:szCs w:val="20"/>
              </w:rPr>
              <w:t xml:space="preserve">, утвержденное </w:t>
            </w:r>
            <w:r w:rsidR="00F416FD">
              <w:rPr>
                <w:sz w:val="20"/>
                <w:szCs w:val="20"/>
              </w:rPr>
              <w:lastRenderedPageBreak/>
              <w:t>Решением Думы Березовского го</w:t>
            </w:r>
            <w:r w:rsidR="00E933A0">
              <w:rPr>
                <w:sz w:val="20"/>
                <w:szCs w:val="20"/>
              </w:rPr>
              <w:t>родского округа от 21.08.2008 №</w:t>
            </w:r>
            <w:r w:rsidR="00F416FD">
              <w:rPr>
                <w:sz w:val="20"/>
                <w:szCs w:val="20"/>
              </w:rPr>
              <w:t xml:space="preserve">443 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Default="00E933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1.4.</w:t>
            </w:r>
            <w:r w:rsidR="00F416FD">
              <w:rPr>
                <w:color w:val="000000"/>
                <w:sz w:val="20"/>
                <w:szCs w:val="20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105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105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105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105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Прогнозный план (программа) приватизации муниципального имущества на 2023 год и плановый период 2024 и 2025 годов, утвержденный решением Думы Березовского го</w:t>
            </w:r>
            <w:r w:rsidR="00E933A0">
              <w:rPr>
                <w:sz w:val="20"/>
                <w:szCs w:val="20"/>
              </w:rPr>
              <w:t>родского округа от 24.11.2022 №</w:t>
            </w:r>
            <w:r>
              <w:rPr>
                <w:sz w:val="20"/>
                <w:szCs w:val="20"/>
              </w:rPr>
              <w:t>92 (</w:t>
            </w:r>
            <w:proofErr w:type="spellStart"/>
            <w:r>
              <w:rPr>
                <w:sz w:val="20"/>
                <w:szCs w:val="20"/>
              </w:rPr>
              <w:t>ред.от</w:t>
            </w:r>
            <w:proofErr w:type="spellEnd"/>
            <w:r>
              <w:rPr>
                <w:sz w:val="20"/>
                <w:szCs w:val="20"/>
              </w:rPr>
              <w:t xml:space="preserve"> 27.04.2023 №123),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Решением Думы Березовского го</w:t>
            </w:r>
            <w:r w:rsidR="00E933A0">
              <w:rPr>
                <w:sz w:val="20"/>
                <w:szCs w:val="20"/>
              </w:rPr>
              <w:t>родского округа от 30.07.2015 №</w:t>
            </w:r>
            <w:r>
              <w:rPr>
                <w:sz w:val="20"/>
                <w:szCs w:val="20"/>
              </w:rPr>
              <w:t>250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Default="00E933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1.5.</w:t>
            </w:r>
            <w:r w:rsidR="00F416FD">
              <w:rPr>
                <w:color w:val="000000"/>
                <w:sz w:val="20"/>
                <w:szCs w:val="20"/>
              </w:rPr>
              <w:t xml:space="preserve">Оказание имущественной поддержки субъектам малого и среднего предпринимательства на территории Березовского городского округа 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 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</w:t>
            </w:r>
            <w:r w:rsidR="00E933A0">
              <w:rPr>
                <w:sz w:val="20"/>
                <w:szCs w:val="20"/>
              </w:rPr>
              <w:t>деральный закон от 24.07.2007 №209-ФЗ «</w:t>
            </w:r>
            <w:r>
              <w:rPr>
                <w:sz w:val="20"/>
                <w:szCs w:val="20"/>
              </w:rPr>
              <w:t>О развитии малого и среднего предпринима</w:t>
            </w:r>
            <w:r w:rsidR="00E933A0">
              <w:rPr>
                <w:sz w:val="20"/>
                <w:szCs w:val="20"/>
              </w:rPr>
              <w:t>тельства в Российской Федерации»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Pr="00E933A0" w:rsidRDefault="00F416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Pr="00E933A0" w:rsidRDefault="00F416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Pr="00E933A0" w:rsidRDefault="00F416FD">
            <w:pPr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="00E933A0">
              <w:rPr>
                <w:bCs/>
                <w:color w:val="000000"/>
                <w:sz w:val="20"/>
                <w:szCs w:val="20"/>
              </w:rPr>
              <w:t>«</w:t>
            </w:r>
            <w:r w:rsidRPr="00E933A0">
              <w:rPr>
                <w:bCs/>
                <w:color w:val="000000"/>
                <w:sz w:val="20"/>
                <w:szCs w:val="20"/>
              </w:rPr>
              <w:t>Обеспечение реализации муниципальной программы Березовского городского округа «Управление муниципальной собственность</w:t>
            </w:r>
            <w:r w:rsidR="00C867ED" w:rsidRPr="00E933A0">
              <w:rPr>
                <w:bCs/>
                <w:color w:val="000000"/>
                <w:sz w:val="20"/>
                <w:szCs w:val="20"/>
              </w:rPr>
              <w:t>ю</w:t>
            </w:r>
            <w:r w:rsidRPr="00E933A0">
              <w:rPr>
                <w:bCs/>
                <w:color w:val="000000"/>
                <w:sz w:val="20"/>
                <w:szCs w:val="20"/>
              </w:rPr>
              <w:t xml:space="preserve"> и земельными ресурсами Березовского</w:t>
            </w:r>
            <w:r w:rsidR="00E933A0">
              <w:rPr>
                <w:bCs/>
                <w:color w:val="000000"/>
                <w:sz w:val="20"/>
                <w:szCs w:val="20"/>
              </w:rPr>
              <w:t xml:space="preserve"> городского округа до 2028 года»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Pr="00E933A0" w:rsidRDefault="00F416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Pr="00E933A0" w:rsidRDefault="00F416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3A0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Pr="00E933A0" w:rsidRDefault="00B254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Цель 2.</w:t>
            </w:r>
            <w:r w:rsidR="00F416FD" w:rsidRPr="00E933A0">
              <w:rPr>
                <w:bCs/>
                <w:color w:val="000000"/>
                <w:sz w:val="20"/>
                <w:szCs w:val="20"/>
              </w:rPr>
              <w:t xml:space="preserve">Эффективная реализация муниципальной программы 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D" w:rsidRDefault="00F4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D" w:rsidRDefault="00B25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</w:t>
            </w:r>
            <w:r w:rsidR="00F416FD">
              <w:rPr>
                <w:color w:val="000000"/>
                <w:sz w:val="20"/>
                <w:szCs w:val="20"/>
              </w:rPr>
              <w:t xml:space="preserve">Формирование и развитие обеспечивающих механизмов эффективной реализации муниципальной программы 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 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</w:t>
            </w:r>
            <w:r w:rsidR="00B25457">
              <w:rPr>
                <w:sz w:val="20"/>
                <w:szCs w:val="20"/>
              </w:rPr>
              <w:t>деральный закон от 06.10.2003 №131-ФЗ «</w:t>
            </w:r>
            <w:r>
              <w:rPr>
                <w:sz w:val="20"/>
                <w:szCs w:val="20"/>
              </w:rPr>
              <w:t>Об общих принципах организации местного самоуп</w:t>
            </w:r>
            <w:r w:rsidR="00B25457">
              <w:rPr>
                <w:sz w:val="20"/>
                <w:szCs w:val="20"/>
              </w:rPr>
              <w:t>равления в Российской Федерации»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</w:t>
            </w:r>
            <w:r w:rsidR="00B25457">
              <w:rPr>
                <w:sz w:val="20"/>
                <w:szCs w:val="20"/>
              </w:rPr>
              <w:t>ый закон от 27.07.2010 №210-ФЗ «</w:t>
            </w:r>
            <w:r>
              <w:rPr>
                <w:sz w:val="20"/>
                <w:szCs w:val="20"/>
              </w:rPr>
              <w:t>Об организации предоставления госуда</w:t>
            </w:r>
            <w:r w:rsidR="00B25457">
              <w:rPr>
                <w:sz w:val="20"/>
                <w:szCs w:val="20"/>
              </w:rPr>
              <w:t>рственных и муниципальных услуг»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</w:t>
            </w:r>
            <w:r w:rsidR="001311C1">
              <w:rPr>
                <w:sz w:val="20"/>
                <w:szCs w:val="20"/>
              </w:rPr>
              <w:t>езидента РФ от 07.05.2012 №601 «</w:t>
            </w:r>
            <w:r>
              <w:rPr>
                <w:sz w:val="20"/>
                <w:szCs w:val="20"/>
              </w:rPr>
              <w:t>Об основных направлениях совершенствования сист</w:t>
            </w:r>
            <w:r w:rsidR="001311C1">
              <w:rPr>
                <w:sz w:val="20"/>
                <w:szCs w:val="20"/>
              </w:rPr>
              <w:t>емы государственного управления»</w:t>
            </w:r>
          </w:p>
        </w:tc>
      </w:tr>
      <w:tr w:rsidR="00F416FD" w:rsidTr="00F416F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6FD" w:rsidRDefault="00F4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</w:t>
            </w:r>
            <w:r w:rsidR="00B25457">
              <w:rPr>
                <w:sz w:val="20"/>
                <w:szCs w:val="20"/>
              </w:rPr>
              <w:t>ный закон от 02.03.2007 №25-ФЗ «</w:t>
            </w:r>
            <w:r>
              <w:rPr>
                <w:sz w:val="20"/>
                <w:szCs w:val="20"/>
              </w:rPr>
              <w:t>О муниципально</w:t>
            </w:r>
            <w:r w:rsidR="00B25457">
              <w:rPr>
                <w:sz w:val="20"/>
                <w:szCs w:val="20"/>
              </w:rPr>
              <w:t>й службе в Российской Федерации»</w:t>
            </w:r>
          </w:p>
        </w:tc>
      </w:tr>
    </w:tbl>
    <w:p w:rsidR="00F416FD" w:rsidRDefault="00F416FD" w:rsidP="00F416FD">
      <w:pPr>
        <w:spacing w:after="0" w:line="240" w:lineRule="auto"/>
      </w:pPr>
    </w:p>
    <w:sectPr w:rsidR="00F416FD" w:rsidSect="00DB1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28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80" w:rsidRDefault="00C72080" w:rsidP="00AD61FC">
      <w:pPr>
        <w:spacing w:after="0" w:line="240" w:lineRule="auto"/>
      </w:pPr>
      <w:r>
        <w:separator/>
      </w:r>
    </w:p>
  </w:endnote>
  <w:endnote w:type="continuationSeparator" w:id="0">
    <w:p w:rsidR="00C72080" w:rsidRDefault="00C72080" w:rsidP="00A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84" w:rsidRDefault="00DB16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84" w:rsidRDefault="00DB16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84" w:rsidRDefault="00DB16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80" w:rsidRDefault="00C72080" w:rsidP="00AD61FC">
      <w:pPr>
        <w:spacing w:after="0" w:line="240" w:lineRule="auto"/>
      </w:pPr>
      <w:r>
        <w:separator/>
      </w:r>
    </w:p>
  </w:footnote>
  <w:footnote w:type="continuationSeparator" w:id="0">
    <w:p w:rsidR="00C72080" w:rsidRDefault="00C72080" w:rsidP="00A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84" w:rsidRDefault="00DB16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7025030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bookmarkStart w:id="0" w:name="_GoBack" w:displacedByCustomXml="prev"/>
      <w:p w:rsidR="00DB1684" w:rsidRPr="00DB1684" w:rsidRDefault="00DB1684">
        <w:pPr>
          <w:pStyle w:val="a5"/>
          <w:jc w:val="center"/>
          <w:rPr>
            <w:rFonts w:asciiTheme="minorHAnsi" w:eastAsiaTheme="majorEastAsia" w:hAnsiTheme="minorHAnsi" w:cstheme="minorHAnsi"/>
            <w:sz w:val="22"/>
          </w:rPr>
        </w:pPr>
        <w:r w:rsidRPr="00DB1684">
          <w:rPr>
            <w:rFonts w:asciiTheme="minorHAnsi" w:eastAsiaTheme="minorEastAsia" w:hAnsiTheme="minorHAnsi" w:cstheme="minorHAnsi"/>
            <w:sz w:val="22"/>
          </w:rPr>
          <w:fldChar w:fldCharType="begin"/>
        </w:r>
        <w:r w:rsidRPr="00DB1684">
          <w:rPr>
            <w:rFonts w:asciiTheme="minorHAnsi" w:hAnsiTheme="minorHAnsi" w:cstheme="minorHAnsi"/>
            <w:sz w:val="22"/>
          </w:rPr>
          <w:instrText>PAGE    \* MERGEFORMAT</w:instrText>
        </w:r>
        <w:r w:rsidRPr="00DB1684">
          <w:rPr>
            <w:rFonts w:asciiTheme="minorHAnsi" w:eastAsiaTheme="minorEastAsia" w:hAnsiTheme="minorHAnsi" w:cstheme="minorHAnsi"/>
            <w:sz w:val="22"/>
          </w:rPr>
          <w:fldChar w:fldCharType="separate"/>
        </w:r>
        <w:r w:rsidRPr="00DB1684">
          <w:rPr>
            <w:rFonts w:asciiTheme="minorHAnsi" w:eastAsiaTheme="majorEastAsia" w:hAnsiTheme="minorHAnsi" w:cstheme="minorHAnsi"/>
            <w:noProof/>
            <w:sz w:val="22"/>
          </w:rPr>
          <w:t>2</w:t>
        </w:r>
        <w:r w:rsidRPr="00DB1684">
          <w:rPr>
            <w:rFonts w:asciiTheme="minorHAnsi" w:eastAsiaTheme="majorEastAsia" w:hAnsiTheme="minorHAnsi" w:cstheme="minorHAnsi"/>
            <w:sz w:val="22"/>
          </w:rPr>
          <w:fldChar w:fldCharType="end"/>
        </w:r>
      </w:p>
    </w:sdtContent>
  </w:sdt>
  <w:bookmarkEnd w:id="0"/>
  <w:p w:rsidR="00AD61FC" w:rsidRDefault="00AD61F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8C" w:rsidRDefault="001A73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FD"/>
    <w:rsid w:val="00105919"/>
    <w:rsid w:val="001311C1"/>
    <w:rsid w:val="00156869"/>
    <w:rsid w:val="001A738C"/>
    <w:rsid w:val="002641CB"/>
    <w:rsid w:val="00527AAD"/>
    <w:rsid w:val="005A6137"/>
    <w:rsid w:val="00731D3D"/>
    <w:rsid w:val="00AD61FC"/>
    <w:rsid w:val="00B25457"/>
    <w:rsid w:val="00C72080"/>
    <w:rsid w:val="00C86052"/>
    <w:rsid w:val="00C867ED"/>
    <w:rsid w:val="00D4437C"/>
    <w:rsid w:val="00DB1684"/>
    <w:rsid w:val="00E77580"/>
    <w:rsid w:val="00E933A0"/>
    <w:rsid w:val="00F416FD"/>
    <w:rsid w:val="00F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2821"/>
  <w15:chartTrackingRefBased/>
  <w15:docId w15:val="{360B2472-C354-4A58-9429-A5967D99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45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61FC"/>
    <w:rPr>
      <w:rFonts w:ascii="Times New Roman" w:hAnsi="Times New Roman" w:cs="Times New Roman"/>
      <w:sz w:val="2"/>
    </w:rPr>
  </w:style>
  <w:style w:type="paragraph" w:styleId="a7">
    <w:name w:val="footer"/>
    <w:basedOn w:val="a"/>
    <w:link w:val="a8"/>
    <w:uiPriority w:val="99"/>
    <w:unhideWhenUsed/>
    <w:rsid w:val="00AD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61FC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Михеева М.О.</cp:lastModifiedBy>
  <cp:revision>11</cp:revision>
  <cp:lastPrinted>2024-02-14T10:59:00Z</cp:lastPrinted>
  <dcterms:created xsi:type="dcterms:W3CDTF">2024-02-08T07:49:00Z</dcterms:created>
  <dcterms:modified xsi:type="dcterms:W3CDTF">2024-02-14T11:02:00Z</dcterms:modified>
</cp:coreProperties>
</file>