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A2" w:rsidRPr="00F05C21" w:rsidRDefault="00FD35A2" w:rsidP="00FD35A2">
      <w:pPr>
        <w:pStyle w:val="ParagraphStyle0"/>
        <w:ind w:firstLine="11057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>Приложение</w:t>
      </w:r>
    </w:p>
    <w:p w:rsidR="00FD35A2" w:rsidRPr="00F05C21" w:rsidRDefault="00FD35A2" w:rsidP="00FD35A2">
      <w:pPr>
        <w:pStyle w:val="ParagraphStyle0"/>
        <w:ind w:firstLine="11057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>к постановлению</w:t>
      </w:r>
      <w:r w:rsidRPr="00F05C21">
        <w:rPr>
          <w:rStyle w:val="CharacterStyle0"/>
          <w:sz w:val="28"/>
          <w:szCs w:val="28"/>
        </w:rPr>
        <w:t xml:space="preserve"> администрации</w:t>
      </w:r>
    </w:p>
    <w:p w:rsidR="00FD35A2" w:rsidRPr="00F05C21" w:rsidRDefault="00FD35A2" w:rsidP="00FD35A2">
      <w:pPr>
        <w:pStyle w:val="ParagraphStyle0"/>
        <w:ind w:firstLine="11057"/>
        <w:rPr>
          <w:rStyle w:val="CharacterStyle0"/>
          <w:sz w:val="28"/>
          <w:szCs w:val="28"/>
        </w:rPr>
      </w:pPr>
      <w:r w:rsidRPr="00F05C21">
        <w:rPr>
          <w:rStyle w:val="CharacterStyle0"/>
          <w:sz w:val="28"/>
          <w:szCs w:val="28"/>
        </w:rPr>
        <w:t>Березовского городского округа</w:t>
      </w:r>
    </w:p>
    <w:p w:rsidR="00FD35A2" w:rsidRDefault="00FD35A2" w:rsidP="00FD35A2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F05C21">
        <w:rPr>
          <w:rStyle w:val="CharacterStyle0"/>
          <w:sz w:val="28"/>
          <w:szCs w:val="28"/>
        </w:rPr>
        <w:t>от 22.01.2021  №64-3</w:t>
      </w:r>
    </w:p>
    <w:p w:rsidR="00FD35A2" w:rsidRDefault="00FD35A2" w:rsidP="00FD35A2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26C" w:rsidRPr="0066026C" w:rsidRDefault="0066026C" w:rsidP="00FD35A2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66026C">
        <w:rPr>
          <w:rFonts w:ascii="Times New Roman" w:hAnsi="Times New Roman" w:cs="Times New Roman"/>
          <w:sz w:val="28"/>
          <w:szCs w:val="28"/>
        </w:rPr>
        <w:t xml:space="preserve">Приложение №1                                                           </w:t>
      </w:r>
    </w:p>
    <w:p w:rsidR="0066026C" w:rsidRPr="0066026C" w:rsidRDefault="0066026C" w:rsidP="00FD35A2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66026C">
        <w:rPr>
          <w:rFonts w:ascii="Times New Roman" w:hAnsi="Times New Roman" w:cs="Times New Roman"/>
          <w:sz w:val="28"/>
          <w:szCs w:val="28"/>
        </w:rPr>
        <w:t xml:space="preserve">к муниципальной программе  </w:t>
      </w:r>
    </w:p>
    <w:p w:rsidR="0066026C" w:rsidRDefault="0066026C" w:rsidP="00660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26C" w:rsidRDefault="0066026C" w:rsidP="00660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26C" w:rsidRDefault="0066026C" w:rsidP="00660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26C" w:rsidRPr="0066026C" w:rsidRDefault="0066026C" w:rsidP="00660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26C" w:rsidRPr="0066026C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:rsidR="0066026C" w:rsidRPr="0066026C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026C">
        <w:rPr>
          <w:rFonts w:ascii="Times New Roman" w:hAnsi="Times New Roman" w:cs="Times New Roman"/>
          <w:bCs/>
          <w:sz w:val="28"/>
          <w:szCs w:val="28"/>
        </w:rPr>
        <w:t>реализации муниципальной программы</w:t>
      </w:r>
    </w:p>
    <w:p w:rsidR="0066026C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26C">
        <w:rPr>
          <w:rFonts w:ascii="Times New Roman" w:hAnsi="Times New Roman" w:cs="Times New Roman"/>
          <w:sz w:val="28"/>
          <w:szCs w:val="28"/>
        </w:rPr>
        <w:t xml:space="preserve">«Управление муниципальной собственностью и земельными ресурсами </w:t>
      </w:r>
    </w:p>
    <w:p w:rsidR="0066026C" w:rsidRPr="0066026C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26C">
        <w:rPr>
          <w:rFonts w:ascii="Times New Roman" w:hAnsi="Times New Roman" w:cs="Times New Roman"/>
          <w:sz w:val="28"/>
          <w:szCs w:val="28"/>
        </w:rPr>
        <w:t>Березовского городского округа до 2024 года»</w:t>
      </w:r>
    </w:p>
    <w:p w:rsidR="0066026C" w:rsidRPr="0066026C" w:rsidRDefault="0066026C" w:rsidP="0066026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08"/>
        <w:gridCol w:w="3662"/>
        <w:gridCol w:w="1731"/>
        <w:gridCol w:w="825"/>
        <w:gridCol w:w="825"/>
        <w:gridCol w:w="825"/>
        <w:gridCol w:w="825"/>
        <w:gridCol w:w="825"/>
        <w:gridCol w:w="825"/>
        <w:gridCol w:w="4025"/>
      </w:tblGrid>
      <w:tr w:rsidR="00B8263A" w:rsidRPr="0066026C" w:rsidTr="0066026C">
        <w:trPr>
          <w:trHeight w:val="255"/>
        </w:trPr>
        <w:tc>
          <w:tcPr>
            <w:tcW w:w="908" w:type="dxa"/>
            <w:vMerge w:val="restart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№ строки</w:t>
            </w:r>
          </w:p>
        </w:tc>
        <w:tc>
          <w:tcPr>
            <w:tcW w:w="3662" w:type="dxa"/>
            <w:vMerge w:val="restart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731" w:type="dxa"/>
            <w:vMerge w:val="restart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4950" w:type="dxa"/>
            <w:gridSpan w:val="6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vMerge w:val="restart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Источник значений показателей</w:t>
            </w:r>
          </w:p>
        </w:tc>
      </w:tr>
      <w:tr w:rsidR="00B8263A" w:rsidRPr="0066026C" w:rsidTr="0066026C">
        <w:trPr>
          <w:trHeight w:val="255"/>
        </w:trPr>
        <w:tc>
          <w:tcPr>
            <w:tcW w:w="908" w:type="dxa"/>
            <w:vMerge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62" w:type="dxa"/>
            <w:vMerge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1" w:type="dxa"/>
            <w:vMerge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4025" w:type="dxa"/>
            <w:vMerge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8263A" w:rsidRPr="0066026C" w:rsidTr="0066026C">
        <w:trPr>
          <w:trHeight w:val="25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62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025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B8263A" w:rsidRPr="0066026C" w:rsidTr="0066026C">
        <w:trPr>
          <w:trHeight w:val="102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Подпрограмма 1.«</w:t>
            </w:r>
            <w:r w:rsidR="00B8263A" w:rsidRPr="0066026C">
              <w:rPr>
                <w:rFonts w:ascii="Times New Roman" w:hAnsi="Times New Roman" w:cs="Times New Roman"/>
                <w:bCs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городского округа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8263A" w:rsidRPr="0066026C" w:rsidTr="0066026C">
        <w:trPr>
          <w:trHeight w:val="102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1.</w:t>
            </w:r>
            <w:r w:rsidR="00B8263A" w:rsidRPr="0066026C">
              <w:rPr>
                <w:rFonts w:ascii="Times New Roman" w:hAnsi="Times New Roman" w:cs="Times New Roman"/>
                <w:bCs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8263A" w:rsidRPr="0066026C" w:rsidTr="0066026C">
        <w:trPr>
          <w:trHeight w:val="51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1.1.</w:t>
            </w:r>
            <w:r w:rsidR="00B8263A" w:rsidRPr="0066026C">
              <w:rPr>
                <w:rFonts w:ascii="Times New Roman" w:hAnsi="Times New Roman" w:cs="Times New Roman"/>
              </w:rPr>
              <w:t>Оптимизация состава муниципального имущества.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 </w:t>
            </w:r>
          </w:p>
        </w:tc>
      </w:tr>
      <w:tr w:rsidR="00B8263A" w:rsidRPr="0066026C" w:rsidTr="0066026C">
        <w:trPr>
          <w:trHeight w:val="76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1.</w:t>
            </w:r>
            <w:r w:rsidR="00B8263A" w:rsidRPr="0066026C">
              <w:rPr>
                <w:rFonts w:ascii="Times New Roman" w:hAnsi="Times New Roman" w:cs="Times New Roman"/>
              </w:rPr>
              <w:t>Количество муниципальных унитарных предприятий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5" w:type="dxa"/>
            <w:hideMark/>
          </w:tcPr>
          <w:p w:rsidR="00075248" w:rsidRPr="0066026C" w:rsidRDefault="00075248" w:rsidP="00075248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 xml:space="preserve">Федеральный закон от </w:t>
            </w:r>
            <w:r w:rsidR="0066026C">
              <w:rPr>
                <w:rFonts w:ascii="Times New Roman" w:hAnsi="Times New Roman" w:cs="Times New Roman"/>
              </w:rPr>
              <w:t>27.12.2019 №</w:t>
            </w:r>
            <w:r w:rsidRPr="0066026C">
              <w:rPr>
                <w:rFonts w:ascii="Times New Roman" w:hAnsi="Times New Roman" w:cs="Times New Roman"/>
              </w:rPr>
              <w:t>485-ФЗ</w:t>
            </w:r>
          </w:p>
          <w:p w:rsidR="00B8263A" w:rsidRPr="0066026C" w:rsidRDefault="0066026C" w:rsidP="00075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75248" w:rsidRPr="0066026C">
              <w:rPr>
                <w:rFonts w:ascii="Times New Roman" w:hAnsi="Times New Roman" w:cs="Times New Roman"/>
              </w:rPr>
              <w:t>О внесении</w:t>
            </w:r>
            <w:r>
              <w:rPr>
                <w:rFonts w:ascii="Times New Roman" w:hAnsi="Times New Roman" w:cs="Times New Roman"/>
              </w:rPr>
              <w:t xml:space="preserve"> изменений в Федеральный закон «</w:t>
            </w:r>
            <w:r w:rsidR="00075248" w:rsidRPr="0066026C">
              <w:rPr>
                <w:rFonts w:ascii="Times New Roman" w:hAnsi="Times New Roman" w:cs="Times New Roman"/>
              </w:rPr>
              <w:t>О государственных и муниц</w:t>
            </w:r>
            <w:r>
              <w:rPr>
                <w:rFonts w:ascii="Times New Roman" w:hAnsi="Times New Roman" w:cs="Times New Roman"/>
              </w:rPr>
              <w:t xml:space="preserve">ипальных унитарных </w:t>
            </w:r>
            <w:r>
              <w:rPr>
                <w:rFonts w:ascii="Times New Roman" w:hAnsi="Times New Roman" w:cs="Times New Roman"/>
              </w:rPr>
              <w:lastRenderedPageBreak/>
              <w:t>предприятиях»</w:t>
            </w:r>
            <w:r w:rsidR="00FD35A2">
              <w:rPr>
                <w:rFonts w:ascii="Times New Roman" w:hAnsi="Times New Roman" w:cs="Times New Roman"/>
              </w:rPr>
              <w:t xml:space="preserve"> и Федеральный закон «</w:t>
            </w:r>
            <w:r w:rsidR="00075248" w:rsidRPr="0066026C">
              <w:rPr>
                <w:rFonts w:ascii="Times New Roman" w:hAnsi="Times New Roman" w:cs="Times New Roman"/>
              </w:rPr>
              <w:t>О защите конкуренции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8263A" w:rsidRPr="0066026C" w:rsidTr="0066026C">
        <w:trPr>
          <w:trHeight w:val="76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2.</w:t>
            </w:r>
            <w:r w:rsidR="00B8263A" w:rsidRPr="0066026C">
              <w:rPr>
                <w:rFonts w:ascii="Times New Roman" w:hAnsi="Times New Roman" w:cs="Times New Roman"/>
              </w:rPr>
              <w:t>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5" w:type="dxa"/>
            <w:hideMark/>
          </w:tcPr>
          <w:p w:rsidR="00075248" w:rsidRPr="0066026C" w:rsidRDefault="00075248" w:rsidP="00075248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Фе</w:t>
            </w:r>
            <w:r w:rsidR="0066026C">
              <w:rPr>
                <w:rFonts w:ascii="Times New Roman" w:hAnsi="Times New Roman" w:cs="Times New Roman"/>
              </w:rPr>
              <w:t>деральный закон от 27.12.2019 №</w:t>
            </w:r>
            <w:r w:rsidRPr="0066026C">
              <w:rPr>
                <w:rFonts w:ascii="Times New Roman" w:hAnsi="Times New Roman" w:cs="Times New Roman"/>
              </w:rPr>
              <w:t>485-ФЗ</w:t>
            </w:r>
          </w:p>
          <w:p w:rsidR="00B8263A" w:rsidRPr="0066026C" w:rsidRDefault="0066026C" w:rsidP="00075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75248" w:rsidRPr="0066026C">
              <w:rPr>
                <w:rFonts w:ascii="Times New Roman" w:hAnsi="Times New Roman" w:cs="Times New Roman"/>
              </w:rPr>
              <w:t>О внесении</w:t>
            </w:r>
            <w:r>
              <w:rPr>
                <w:rFonts w:ascii="Times New Roman" w:hAnsi="Times New Roman" w:cs="Times New Roman"/>
              </w:rPr>
              <w:t xml:space="preserve"> изменений в Федеральный закон «</w:t>
            </w:r>
            <w:r w:rsidR="00075248" w:rsidRPr="0066026C">
              <w:rPr>
                <w:rFonts w:ascii="Times New Roman" w:hAnsi="Times New Roman" w:cs="Times New Roman"/>
              </w:rPr>
              <w:t>О государственных и муниц</w:t>
            </w:r>
            <w:r>
              <w:rPr>
                <w:rFonts w:ascii="Times New Roman" w:hAnsi="Times New Roman" w:cs="Times New Roman"/>
              </w:rPr>
              <w:t>ипальных унитарных предприятиях»</w:t>
            </w:r>
            <w:r w:rsidR="00FD35A2">
              <w:rPr>
                <w:rFonts w:ascii="Times New Roman" w:hAnsi="Times New Roman" w:cs="Times New Roman"/>
              </w:rPr>
              <w:t xml:space="preserve"> и Федеральный закон «</w:t>
            </w:r>
            <w:r w:rsidR="00075248" w:rsidRPr="0066026C">
              <w:rPr>
                <w:rFonts w:ascii="Times New Roman" w:hAnsi="Times New Roman" w:cs="Times New Roman"/>
              </w:rPr>
              <w:t>О защите конкуренции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8263A" w:rsidRPr="0066026C" w:rsidTr="0066026C">
        <w:trPr>
          <w:trHeight w:val="280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3.</w:t>
            </w:r>
            <w:r w:rsidR="00B8263A" w:rsidRPr="0066026C">
              <w:rPr>
                <w:rFonts w:ascii="Times New Roman" w:hAnsi="Times New Roman" w:cs="Times New Roman"/>
              </w:rPr>
              <w:t xml:space="preserve">Количество организованных и проведенных торгов по продаже муниципального имущества и земельных участков. 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25</w:t>
            </w:r>
            <w:bookmarkStart w:id="0" w:name="_GoBack"/>
            <w:bookmarkEnd w:id="0"/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proofErr w:type="gramStart"/>
            <w:r w:rsidRPr="0066026C">
              <w:rPr>
                <w:rFonts w:ascii="Times New Roman" w:hAnsi="Times New Roman" w:cs="Times New Roman"/>
              </w:rPr>
              <w:t>Прогнозный план (программа) приватизации муниципального имущества на 2021 год и плановый период 2022 и 2023 годов, утвержденный решением Думы Березовского го</w:t>
            </w:r>
            <w:r w:rsidR="0066026C">
              <w:rPr>
                <w:rFonts w:ascii="Times New Roman" w:hAnsi="Times New Roman" w:cs="Times New Roman"/>
              </w:rPr>
              <w:t>родского округа от 29.10.2020 №</w:t>
            </w:r>
            <w:r w:rsidRPr="0066026C">
              <w:rPr>
                <w:rFonts w:ascii="Times New Roman" w:hAnsi="Times New Roman" w:cs="Times New Roman"/>
              </w:rPr>
              <w:t>316,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</w:t>
            </w:r>
            <w:r w:rsidR="00FD35A2">
              <w:rPr>
                <w:rFonts w:ascii="Times New Roman" w:hAnsi="Times New Roman" w:cs="Times New Roman"/>
              </w:rPr>
              <w:t>ородского округа, утвержденное р</w:t>
            </w:r>
            <w:r w:rsidRPr="0066026C">
              <w:rPr>
                <w:rFonts w:ascii="Times New Roman" w:hAnsi="Times New Roman" w:cs="Times New Roman"/>
              </w:rPr>
              <w:t>ешением Думы Березовского го</w:t>
            </w:r>
            <w:r w:rsidR="0066026C">
              <w:rPr>
                <w:rFonts w:ascii="Times New Roman" w:hAnsi="Times New Roman" w:cs="Times New Roman"/>
              </w:rPr>
              <w:t>родского округа от</w:t>
            </w:r>
            <w:proofErr w:type="gramEnd"/>
            <w:r w:rsidR="0066026C">
              <w:rPr>
                <w:rFonts w:ascii="Times New Roman" w:hAnsi="Times New Roman" w:cs="Times New Roman"/>
              </w:rPr>
              <w:t xml:space="preserve"> 30.07.2015 №</w:t>
            </w:r>
            <w:r w:rsidRPr="0066026C">
              <w:rPr>
                <w:rFonts w:ascii="Times New Roman" w:hAnsi="Times New Roman" w:cs="Times New Roman"/>
              </w:rPr>
              <w:t>250</w:t>
            </w:r>
          </w:p>
        </w:tc>
      </w:tr>
      <w:tr w:rsidR="00B8263A" w:rsidRPr="0066026C" w:rsidTr="0066026C">
        <w:trPr>
          <w:trHeight w:val="76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1.2.</w:t>
            </w:r>
            <w:r w:rsidR="00B8263A" w:rsidRPr="0066026C">
              <w:rPr>
                <w:rFonts w:ascii="Times New Roman" w:hAnsi="Times New Roman" w:cs="Times New Roman"/>
              </w:rPr>
              <w:t xml:space="preserve">Организация учета и мониторинга муниципального имущества, актуализация сведений реестра муниципального имущества. 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 </w:t>
            </w:r>
          </w:p>
        </w:tc>
      </w:tr>
      <w:tr w:rsidR="00B8263A" w:rsidRPr="0066026C" w:rsidTr="0066026C">
        <w:trPr>
          <w:trHeight w:val="153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1.</w:t>
            </w:r>
            <w:r w:rsidR="00B8263A" w:rsidRPr="0066026C">
              <w:rPr>
                <w:rFonts w:ascii="Times New Roman" w:hAnsi="Times New Roman" w:cs="Times New Roman"/>
              </w:rPr>
              <w:t xml:space="preserve">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 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5" w:type="dxa"/>
            <w:hideMark/>
          </w:tcPr>
          <w:p w:rsidR="00B8263A" w:rsidRPr="0066026C" w:rsidRDefault="00B10798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  <w:p w:rsidR="00B10798" w:rsidRPr="0066026C" w:rsidRDefault="00B10798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10798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B10798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B10798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  <w:p w:rsidR="00B10798" w:rsidRPr="0066026C" w:rsidRDefault="00B10798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B8263A" w:rsidRPr="0066026C" w:rsidTr="0066026C">
        <w:trPr>
          <w:trHeight w:val="452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2.</w:t>
            </w:r>
            <w:r w:rsidR="00B8263A" w:rsidRPr="0066026C">
              <w:rPr>
                <w:rFonts w:ascii="Times New Roman" w:hAnsi="Times New Roman" w:cs="Times New Roman"/>
              </w:rPr>
              <w:t xml:space="preserve">Доля объектов недвижимого имущества, находящихся в муниципальной собственности, в отношении которых проведены </w:t>
            </w:r>
            <w:proofErr w:type="spellStart"/>
            <w:r w:rsidR="00B8263A" w:rsidRPr="0066026C">
              <w:rPr>
                <w:rFonts w:ascii="Times New Roman" w:hAnsi="Times New Roman" w:cs="Times New Roman"/>
              </w:rPr>
              <w:t>инвентаризационно-технические</w:t>
            </w:r>
            <w:proofErr w:type="spellEnd"/>
            <w:r w:rsidR="00B8263A" w:rsidRPr="0066026C">
              <w:rPr>
                <w:rFonts w:ascii="Times New Roman" w:hAnsi="Times New Roman" w:cs="Times New Roman"/>
              </w:rPr>
              <w:t xml:space="preserve"> и кадастровые работы, в общем числе объектов, подлежащих инвентаризации.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процентов от общего количества объектов, подлежащих инвентаризации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25" w:type="dxa"/>
            <w:hideMark/>
          </w:tcPr>
          <w:p w:rsidR="00B8263A" w:rsidRPr="0066026C" w:rsidRDefault="00A63D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A63D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A63D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A63D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B8263A" w:rsidRPr="0066026C" w:rsidTr="0066026C">
        <w:trPr>
          <w:trHeight w:val="102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3.</w:t>
            </w:r>
            <w:r w:rsidR="00B8263A" w:rsidRPr="0066026C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="00B8263A" w:rsidRPr="0066026C">
              <w:rPr>
                <w:rFonts w:ascii="Times New Roman" w:hAnsi="Times New Roman" w:cs="Times New Roman"/>
              </w:rPr>
              <w:t>проинвентаризированных</w:t>
            </w:r>
            <w:proofErr w:type="spellEnd"/>
            <w:r w:rsidR="00B8263A" w:rsidRPr="0066026C">
              <w:rPr>
                <w:rFonts w:ascii="Times New Roman" w:hAnsi="Times New Roman" w:cs="Times New Roman"/>
              </w:rPr>
              <w:t xml:space="preserve"> и поставленных на кадастровый учет объектов недвижимости, в том числе земельных участков 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25" w:type="dxa"/>
            <w:hideMark/>
          </w:tcPr>
          <w:p w:rsidR="00B8263A" w:rsidRPr="0066026C" w:rsidRDefault="00CA2E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CA2E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B8263A" w:rsidRPr="0066026C" w:rsidTr="0066026C">
        <w:trPr>
          <w:trHeight w:val="102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4.</w:t>
            </w:r>
            <w:r w:rsidR="00B8263A" w:rsidRPr="0066026C">
              <w:rPr>
                <w:rFonts w:ascii="Times New Roman" w:hAnsi="Times New Roman" w:cs="Times New Roman"/>
              </w:rPr>
              <w:t xml:space="preserve">Количество объектов бесхозяйного и выморочного имущества, на которые зарегистрировано право собственности Березовского городского округа 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25" w:type="dxa"/>
            <w:hideMark/>
          </w:tcPr>
          <w:p w:rsidR="00B8263A" w:rsidRPr="0066026C" w:rsidRDefault="00CA2E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CA2E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B8263A" w:rsidRPr="0066026C" w:rsidTr="0066026C">
        <w:trPr>
          <w:trHeight w:val="51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1.3.</w:t>
            </w:r>
            <w:r w:rsidR="00B8263A" w:rsidRPr="0066026C">
              <w:rPr>
                <w:rFonts w:ascii="Times New Roman" w:hAnsi="Times New Roman" w:cs="Times New Roman"/>
              </w:rPr>
              <w:t>Вовлечение муниципальных активов и земельных участков в хозяйственный оборот.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 </w:t>
            </w:r>
          </w:p>
        </w:tc>
      </w:tr>
      <w:tr w:rsidR="004E1D21" w:rsidRPr="0066026C" w:rsidTr="0066026C">
        <w:trPr>
          <w:trHeight w:val="1020"/>
        </w:trPr>
        <w:tc>
          <w:tcPr>
            <w:tcW w:w="908" w:type="dxa"/>
            <w:vAlign w:val="center"/>
            <w:hideMark/>
          </w:tcPr>
          <w:p w:rsidR="004E1D21" w:rsidRPr="0066026C" w:rsidRDefault="004E1D21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662" w:type="dxa"/>
            <w:hideMark/>
          </w:tcPr>
          <w:p w:rsidR="004E1D21" w:rsidRPr="0066026C" w:rsidRDefault="0066026C" w:rsidP="004E1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1.</w:t>
            </w:r>
            <w:r w:rsidR="004E1D21" w:rsidRPr="0066026C">
              <w:rPr>
                <w:rFonts w:ascii="Times New Roman" w:hAnsi="Times New Roman" w:cs="Times New Roman"/>
              </w:rPr>
              <w:t>Количество предоставляемых в пользование (аренду) земельных участков</w:t>
            </w:r>
          </w:p>
        </w:tc>
        <w:tc>
          <w:tcPr>
            <w:tcW w:w="1731" w:type="dxa"/>
            <w:hideMark/>
          </w:tcPr>
          <w:p w:rsidR="004E1D21" w:rsidRPr="0066026C" w:rsidRDefault="004E1D21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825" w:type="dxa"/>
            <w:hideMark/>
          </w:tcPr>
          <w:p w:rsidR="004E1D21" w:rsidRPr="0066026C" w:rsidRDefault="004E1D21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25" w:type="dxa"/>
            <w:hideMark/>
          </w:tcPr>
          <w:p w:rsidR="004E1D21" w:rsidRPr="0066026C" w:rsidRDefault="004E1D21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25" w:type="dxa"/>
            <w:hideMark/>
          </w:tcPr>
          <w:p w:rsidR="004E1D21" w:rsidRPr="0066026C" w:rsidRDefault="004E1D21" w:rsidP="0066026C">
            <w:pPr>
              <w:jc w:val="center"/>
            </w:pPr>
            <w:r w:rsidRPr="0066026C">
              <w:t>-</w:t>
            </w:r>
          </w:p>
        </w:tc>
        <w:tc>
          <w:tcPr>
            <w:tcW w:w="825" w:type="dxa"/>
            <w:hideMark/>
          </w:tcPr>
          <w:p w:rsidR="004E1D21" w:rsidRPr="0066026C" w:rsidRDefault="004E1D21" w:rsidP="0066026C">
            <w:pPr>
              <w:jc w:val="center"/>
            </w:pPr>
            <w:r w:rsidRPr="0066026C">
              <w:t>-</w:t>
            </w:r>
          </w:p>
        </w:tc>
        <w:tc>
          <w:tcPr>
            <w:tcW w:w="825" w:type="dxa"/>
            <w:hideMark/>
          </w:tcPr>
          <w:p w:rsidR="004E1D21" w:rsidRPr="0066026C" w:rsidRDefault="004E1D21" w:rsidP="0066026C">
            <w:pPr>
              <w:jc w:val="center"/>
            </w:pPr>
            <w:r w:rsidRPr="0066026C">
              <w:t>-</w:t>
            </w:r>
          </w:p>
        </w:tc>
        <w:tc>
          <w:tcPr>
            <w:tcW w:w="825" w:type="dxa"/>
            <w:hideMark/>
          </w:tcPr>
          <w:p w:rsidR="004E1D21" w:rsidRPr="0066026C" w:rsidRDefault="004E1D21" w:rsidP="0066026C">
            <w:pPr>
              <w:jc w:val="center"/>
            </w:pPr>
            <w:r w:rsidRPr="0066026C">
              <w:t>-</w:t>
            </w:r>
          </w:p>
        </w:tc>
        <w:tc>
          <w:tcPr>
            <w:tcW w:w="4025" w:type="dxa"/>
            <w:hideMark/>
          </w:tcPr>
          <w:p w:rsidR="004E1D21" w:rsidRPr="0066026C" w:rsidRDefault="004E1D21" w:rsidP="009F2859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 xml:space="preserve">Земельный кодекс Российской Федерации, Федеральный закон от 25.10.2001 </w:t>
            </w:r>
            <w:r w:rsidR="009F2859" w:rsidRPr="0066026C">
              <w:rPr>
                <w:rFonts w:ascii="Times New Roman" w:hAnsi="Times New Roman" w:cs="Times New Roman"/>
              </w:rPr>
              <w:t>№</w:t>
            </w:r>
            <w:r w:rsidR="0066026C">
              <w:rPr>
                <w:rFonts w:ascii="Times New Roman" w:hAnsi="Times New Roman" w:cs="Times New Roman"/>
              </w:rPr>
              <w:t>137-ФЗ  «</w:t>
            </w:r>
            <w:r w:rsidRPr="0066026C">
              <w:rPr>
                <w:rFonts w:ascii="Times New Roman" w:hAnsi="Times New Roman" w:cs="Times New Roman"/>
              </w:rPr>
              <w:t>О введении в действие Земельного кодекса Российской Федерации</w:t>
            </w:r>
            <w:r w:rsidR="0066026C">
              <w:rPr>
                <w:rFonts w:ascii="Times New Roman" w:hAnsi="Times New Roman" w:cs="Times New Roman"/>
              </w:rPr>
              <w:t>»</w:t>
            </w:r>
          </w:p>
        </w:tc>
      </w:tr>
      <w:tr w:rsidR="00B8263A" w:rsidRPr="0066026C" w:rsidTr="0066026C">
        <w:trPr>
          <w:trHeight w:val="102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2.</w:t>
            </w:r>
            <w:r w:rsidR="00B8263A" w:rsidRPr="0066026C">
              <w:rPr>
                <w:rFonts w:ascii="Times New Roman" w:hAnsi="Times New Roman" w:cs="Times New Roman"/>
              </w:rPr>
              <w:t>Количество предоставленных в пользование (аренду) объектов муниципального нежилого фонда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5" w:type="dxa"/>
            <w:hideMark/>
          </w:tcPr>
          <w:p w:rsidR="00B8263A" w:rsidRPr="0066026C" w:rsidRDefault="00AF1280" w:rsidP="009F2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</w:t>
            </w:r>
            <w:r w:rsidR="00B8263A" w:rsidRPr="0066026C">
              <w:rPr>
                <w:rFonts w:ascii="Times New Roman" w:hAnsi="Times New Roman" w:cs="Times New Roman"/>
              </w:rPr>
              <w:t xml:space="preserve"> порядке передачи в аренду муниципального имущества</w:t>
            </w:r>
            <w:r>
              <w:rPr>
                <w:rFonts w:ascii="Times New Roman" w:hAnsi="Times New Roman" w:cs="Times New Roman"/>
              </w:rPr>
              <w:t xml:space="preserve"> Березовского городского округа</w:t>
            </w:r>
            <w:r w:rsidR="00FD35A2">
              <w:rPr>
                <w:rFonts w:ascii="Times New Roman" w:hAnsi="Times New Roman" w:cs="Times New Roman"/>
              </w:rPr>
              <w:t>, утвержденное р</w:t>
            </w:r>
            <w:r w:rsidR="00B8263A" w:rsidRPr="0066026C">
              <w:rPr>
                <w:rFonts w:ascii="Times New Roman" w:hAnsi="Times New Roman" w:cs="Times New Roman"/>
              </w:rPr>
              <w:t xml:space="preserve">ешением Думы Березовского городского округа от 31.05.2012 </w:t>
            </w:r>
            <w:r w:rsidR="009F2859" w:rsidRPr="0066026C">
              <w:rPr>
                <w:rFonts w:ascii="Times New Roman" w:hAnsi="Times New Roman" w:cs="Times New Roman"/>
              </w:rPr>
              <w:t>№</w:t>
            </w:r>
            <w:r w:rsidR="00B8263A" w:rsidRPr="0066026C">
              <w:rPr>
                <w:rFonts w:ascii="Times New Roman" w:hAnsi="Times New Roman" w:cs="Times New Roman"/>
              </w:rPr>
              <w:t>285</w:t>
            </w:r>
          </w:p>
        </w:tc>
      </w:tr>
      <w:tr w:rsidR="00B8263A" w:rsidRPr="0066026C" w:rsidTr="0066026C">
        <w:trPr>
          <w:trHeight w:val="178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3.</w:t>
            </w:r>
            <w:r w:rsidR="00B8263A" w:rsidRPr="0066026C">
              <w:rPr>
                <w:rFonts w:ascii="Times New Roman" w:hAnsi="Times New Roman" w:cs="Times New Roman"/>
              </w:rPr>
              <w:t>Количество заключенных договоров на установку и эксплуатацию рекламных конструкций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25" w:type="dxa"/>
            <w:hideMark/>
          </w:tcPr>
          <w:p w:rsidR="00B8263A" w:rsidRPr="0066026C" w:rsidRDefault="00B8263A" w:rsidP="009F2859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 xml:space="preserve">Федеральный закон от  </w:t>
            </w:r>
            <w:proofErr w:type="spellStart"/>
            <w:proofErr w:type="gramStart"/>
            <w:r w:rsidRPr="0066026C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66026C">
              <w:rPr>
                <w:rFonts w:ascii="Times New Roman" w:hAnsi="Times New Roman" w:cs="Times New Roman"/>
              </w:rPr>
              <w:t xml:space="preserve"> 13.03.2006 </w:t>
            </w:r>
            <w:r w:rsidR="009F2859" w:rsidRPr="0066026C">
              <w:rPr>
                <w:rFonts w:ascii="Times New Roman" w:hAnsi="Times New Roman" w:cs="Times New Roman"/>
              </w:rPr>
              <w:t>№</w:t>
            </w:r>
            <w:r w:rsidR="00FD35A2">
              <w:rPr>
                <w:rFonts w:ascii="Times New Roman" w:hAnsi="Times New Roman" w:cs="Times New Roman"/>
              </w:rPr>
              <w:t>38-ФЗ «О рекламе», Положение о</w:t>
            </w:r>
            <w:r w:rsidRPr="0066026C">
              <w:rPr>
                <w:rFonts w:ascii="Times New Roman" w:hAnsi="Times New Roman" w:cs="Times New Roman"/>
              </w:rPr>
              <w:t xml:space="preserve"> порядке проведения торгов, предметом которых является право заключить договор на установку и эксплуатацию рекламной конструкции с использо</w:t>
            </w:r>
            <w:r w:rsidR="00FD35A2">
              <w:rPr>
                <w:rFonts w:ascii="Times New Roman" w:hAnsi="Times New Roman" w:cs="Times New Roman"/>
              </w:rPr>
              <w:t>ванием муниципального имущества, утвержденное р</w:t>
            </w:r>
            <w:r w:rsidRPr="0066026C">
              <w:rPr>
                <w:rFonts w:ascii="Times New Roman" w:hAnsi="Times New Roman" w:cs="Times New Roman"/>
              </w:rPr>
              <w:t xml:space="preserve">ешением Думы Березовского городского округа от 21.08.2008 </w:t>
            </w:r>
            <w:r w:rsidR="009F2859" w:rsidRPr="0066026C">
              <w:rPr>
                <w:rFonts w:ascii="Times New Roman" w:hAnsi="Times New Roman" w:cs="Times New Roman"/>
              </w:rPr>
              <w:t>№</w:t>
            </w:r>
            <w:r w:rsidRPr="0066026C">
              <w:rPr>
                <w:rFonts w:ascii="Times New Roman" w:hAnsi="Times New Roman" w:cs="Times New Roman"/>
              </w:rPr>
              <w:t xml:space="preserve">443 </w:t>
            </w:r>
          </w:p>
        </w:tc>
      </w:tr>
      <w:tr w:rsidR="00B8263A" w:rsidRPr="0066026C" w:rsidTr="0066026C">
        <w:trPr>
          <w:trHeight w:val="31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4.</w:t>
            </w:r>
            <w:r w:rsidR="00B8263A" w:rsidRPr="0066026C">
              <w:rPr>
                <w:rFonts w:ascii="Times New Roman" w:hAnsi="Times New Roman" w:cs="Times New Roman"/>
              </w:rPr>
              <w:t xml:space="preserve">Количество земельных участков, предоставленных в аренду по результатам торгов 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825" w:type="dxa"/>
            <w:hideMark/>
          </w:tcPr>
          <w:p w:rsidR="00B8263A" w:rsidRPr="0066026C" w:rsidRDefault="00CA2E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CA2EF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hideMark/>
          </w:tcPr>
          <w:p w:rsidR="00B8263A" w:rsidRPr="0066026C" w:rsidRDefault="00F94FB7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</w:t>
            </w:r>
            <w:r w:rsidR="00B8263A" w:rsidRPr="006602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25" w:type="dxa"/>
            <w:hideMark/>
          </w:tcPr>
          <w:p w:rsidR="00B8263A" w:rsidRPr="0066026C" w:rsidRDefault="00B8263A" w:rsidP="009F2859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 xml:space="preserve">Земельный кодекс Российской Федерации, Федеральный закон от 25.10.2001 </w:t>
            </w:r>
            <w:r w:rsidR="009F2859" w:rsidRPr="0066026C">
              <w:rPr>
                <w:rFonts w:ascii="Times New Roman" w:hAnsi="Times New Roman" w:cs="Times New Roman"/>
              </w:rPr>
              <w:t>№</w:t>
            </w:r>
            <w:r w:rsidR="0066026C">
              <w:rPr>
                <w:rFonts w:ascii="Times New Roman" w:hAnsi="Times New Roman" w:cs="Times New Roman"/>
              </w:rPr>
              <w:t>137-ФЗ  «</w:t>
            </w:r>
            <w:r w:rsidRPr="0066026C">
              <w:rPr>
                <w:rFonts w:ascii="Times New Roman" w:hAnsi="Times New Roman" w:cs="Times New Roman"/>
              </w:rPr>
              <w:t>О введении в действие Земельного кодекса Российской Федерации</w:t>
            </w:r>
            <w:r w:rsidR="0066026C">
              <w:rPr>
                <w:rFonts w:ascii="Times New Roman" w:hAnsi="Times New Roman" w:cs="Times New Roman"/>
              </w:rPr>
              <w:t>»</w:t>
            </w:r>
          </w:p>
        </w:tc>
      </w:tr>
      <w:tr w:rsidR="00B8263A" w:rsidRPr="0066026C" w:rsidTr="0066026C">
        <w:trPr>
          <w:trHeight w:val="127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1.4.</w:t>
            </w:r>
            <w:r w:rsidR="00B8263A" w:rsidRPr="0066026C">
              <w:rPr>
                <w:rFonts w:ascii="Times New Roman" w:hAnsi="Times New Roman" w:cs="Times New Roman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 </w:t>
            </w:r>
          </w:p>
        </w:tc>
      </w:tr>
      <w:tr w:rsidR="00B8263A" w:rsidRPr="0066026C" w:rsidTr="0066026C">
        <w:trPr>
          <w:trHeight w:val="280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1.</w:t>
            </w:r>
            <w:r w:rsidR="00B8263A" w:rsidRPr="0066026C">
              <w:rPr>
                <w:rFonts w:ascii="Times New Roman" w:hAnsi="Times New Roman" w:cs="Times New Roman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млн.</w:t>
            </w:r>
            <w:r w:rsidR="009F2859" w:rsidRPr="0066026C">
              <w:rPr>
                <w:rFonts w:ascii="Times New Roman" w:hAnsi="Times New Roman" w:cs="Times New Roman"/>
              </w:rPr>
              <w:t xml:space="preserve"> </w:t>
            </w:r>
            <w:r w:rsidRPr="0066026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183,6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227,9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232,3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237,5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198,7</w:t>
            </w:r>
          </w:p>
        </w:tc>
        <w:tc>
          <w:tcPr>
            <w:tcW w:w="4025" w:type="dxa"/>
            <w:hideMark/>
          </w:tcPr>
          <w:p w:rsidR="00B8263A" w:rsidRPr="0066026C" w:rsidRDefault="00B8263A" w:rsidP="009F2859">
            <w:pPr>
              <w:rPr>
                <w:rFonts w:ascii="Times New Roman" w:hAnsi="Times New Roman" w:cs="Times New Roman"/>
              </w:rPr>
            </w:pPr>
            <w:proofErr w:type="gramStart"/>
            <w:r w:rsidRPr="0066026C">
              <w:rPr>
                <w:rFonts w:ascii="Times New Roman" w:hAnsi="Times New Roman" w:cs="Times New Roman"/>
              </w:rPr>
              <w:t>Прогнозный план (программа) приватизации муниципального имущества на 2021 год и плановый период 2022 и 2023 годов, утвержденный решением Думы Березовского го</w:t>
            </w:r>
            <w:r w:rsidR="0066026C">
              <w:rPr>
                <w:rFonts w:ascii="Times New Roman" w:hAnsi="Times New Roman" w:cs="Times New Roman"/>
              </w:rPr>
              <w:t>родского округа от 29.10.2020 №</w:t>
            </w:r>
            <w:r w:rsidRPr="0066026C">
              <w:rPr>
                <w:rFonts w:ascii="Times New Roman" w:hAnsi="Times New Roman" w:cs="Times New Roman"/>
              </w:rPr>
              <w:t>316,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</w:t>
            </w:r>
            <w:r w:rsidR="00FD35A2">
              <w:rPr>
                <w:rFonts w:ascii="Times New Roman" w:hAnsi="Times New Roman" w:cs="Times New Roman"/>
              </w:rPr>
              <w:t>ородского округа, утвержденное р</w:t>
            </w:r>
            <w:r w:rsidRPr="0066026C">
              <w:rPr>
                <w:rFonts w:ascii="Times New Roman" w:hAnsi="Times New Roman" w:cs="Times New Roman"/>
              </w:rPr>
              <w:t>ешением Думы Березовского городского округа от</w:t>
            </w:r>
            <w:proofErr w:type="gramEnd"/>
            <w:r w:rsidRPr="0066026C">
              <w:rPr>
                <w:rFonts w:ascii="Times New Roman" w:hAnsi="Times New Roman" w:cs="Times New Roman"/>
              </w:rPr>
              <w:t xml:space="preserve"> 30.07.2015 </w:t>
            </w:r>
            <w:r w:rsidR="009F2859" w:rsidRPr="0066026C">
              <w:rPr>
                <w:rFonts w:ascii="Times New Roman" w:hAnsi="Times New Roman" w:cs="Times New Roman"/>
              </w:rPr>
              <w:t>№</w:t>
            </w:r>
            <w:r w:rsidRPr="0066026C">
              <w:rPr>
                <w:rFonts w:ascii="Times New Roman" w:hAnsi="Times New Roman" w:cs="Times New Roman"/>
              </w:rPr>
              <w:t>250</w:t>
            </w:r>
          </w:p>
        </w:tc>
      </w:tr>
      <w:tr w:rsidR="00B8263A" w:rsidRPr="0066026C" w:rsidTr="0066026C">
        <w:trPr>
          <w:trHeight w:val="127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Подпрограмма 2.</w:t>
            </w:r>
            <w:r w:rsidR="00B8263A" w:rsidRPr="0066026C">
              <w:rPr>
                <w:rFonts w:ascii="Times New Roman" w:hAnsi="Times New Roman" w:cs="Times New Roman"/>
                <w:bCs/>
              </w:rPr>
              <w:t xml:space="preserve">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8263A" w:rsidRPr="0066026C" w:rsidTr="0066026C">
        <w:trPr>
          <w:trHeight w:val="452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2.</w:t>
            </w:r>
            <w:r w:rsidR="00B8263A" w:rsidRPr="0066026C">
              <w:rPr>
                <w:rFonts w:ascii="Times New Roman" w:hAnsi="Times New Roman" w:cs="Times New Roman"/>
                <w:bCs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  <w:bCs/>
              </w:rPr>
            </w:pPr>
            <w:r w:rsidRPr="0066026C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8263A" w:rsidRPr="0066026C" w:rsidTr="0066026C">
        <w:trPr>
          <w:trHeight w:val="153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2.1.</w:t>
            </w:r>
            <w:r w:rsidR="00B8263A" w:rsidRPr="0066026C">
              <w:rPr>
                <w:rFonts w:ascii="Times New Roman" w:hAnsi="Times New Roman" w:cs="Times New Roman"/>
              </w:rPr>
              <w:t>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 </w:t>
            </w:r>
          </w:p>
        </w:tc>
      </w:tr>
      <w:tr w:rsidR="00B8263A" w:rsidRPr="0066026C" w:rsidTr="0066026C">
        <w:trPr>
          <w:trHeight w:val="76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1.</w:t>
            </w:r>
            <w:r w:rsidR="00B8263A" w:rsidRPr="0066026C">
              <w:rPr>
                <w:rFonts w:ascii="Times New Roman" w:hAnsi="Times New Roman" w:cs="Times New Roman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Федеральны</w:t>
            </w:r>
            <w:r w:rsidR="0066026C">
              <w:rPr>
                <w:rFonts w:ascii="Times New Roman" w:hAnsi="Times New Roman" w:cs="Times New Roman"/>
              </w:rPr>
              <w:t>й закон от 06.10.2003 №131-ФЗ «</w:t>
            </w:r>
            <w:r w:rsidRPr="0066026C">
              <w:rPr>
                <w:rFonts w:ascii="Times New Roman" w:hAnsi="Times New Roman" w:cs="Times New Roman"/>
              </w:rPr>
              <w:t>Об общих принципах организации местного самоуправления в Российской Федерации</w:t>
            </w:r>
            <w:r w:rsidR="0066026C">
              <w:rPr>
                <w:rFonts w:ascii="Times New Roman" w:hAnsi="Times New Roman" w:cs="Times New Roman"/>
              </w:rPr>
              <w:t>»</w:t>
            </w:r>
          </w:p>
        </w:tc>
      </w:tr>
      <w:tr w:rsidR="00B8263A" w:rsidRPr="0066026C" w:rsidTr="0066026C">
        <w:trPr>
          <w:trHeight w:val="765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2.</w:t>
            </w:r>
            <w:r w:rsidR="00B8263A" w:rsidRPr="0066026C">
              <w:rPr>
                <w:rFonts w:ascii="Times New Roman" w:hAnsi="Times New Roman" w:cs="Times New Roman"/>
              </w:rPr>
              <w:t>Доля муниципальных услуг, предоставленных в сроки в соответствии с административными регламентами услуг.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Федеральн</w:t>
            </w:r>
            <w:r w:rsidR="0066026C">
              <w:rPr>
                <w:rFonts w:ascii="Times New Roman" w:hAnsi="Times New Roman" w:cs="Times New Roman"/>
              </w:rPr>
              <w:t>ый закон от 27.07.2010 №210-ФЗ «</w:t>
            </w:r>
            <w:r w:rsidRPr="0066026C">
              <w:rPr>
                <w:rFonts w:ascii="Times New Roman" w:hAnsi="Times New Roman" w:cs="Times New Roman"/>
              </w:rPr>
              <w:t>Об организации предоставления государственных и муниципальных услуг</w:t>
            </w:r>
            <w:r w:rsidR="0066026C">
              <w:rPr>
                <w:rFonts w:ascii="Times New Roman" w:hAnsi="Times New Roman" w:cs="Times New Roman"/>
              </w:rPr>
              <w:t>»</w:t>
            </w:r>
          </w:p>
        </w:tc>
      </w:tr>
      <w:tr w:rsidR="00B8263A" w:rsidRPr="0066026C" w:rsidTr="0066026C">
        <w:trPr>
          <w:trHeight w:val="102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3.</w:t>
            </w:r>
            <w:r w:rsidR="00B8263A" w:rsidRPr="0066026C">
              <w:rPr>
                <w:rFonts w:ascii="Times New Roman" w:hAnsi="Times New Roman" w:cs="Times New Roman"/>
              </w:rPr>
              <w:t>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25" w:type="dxa"/>
            <w:hideMark/>
          </w:tcPr>
          <w:p w:rsidR="00B8263A" w:rsidRPr="0066026C" w:rsidRDefault="00B8263A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Указ Пр</w:t>
            </w:r>
            <w:r w:rsidR="0066026C">
              <w:rPr>
                <w:rFonts w:ascii="Times New Roman" w:hAnsi="Times New Roman" w:cs="Times New Roman"/>
              </w:rPr>
              <w:t>езидента РФ от 07.05.2012 №601 «</w:t>
            </w:r>
            <w:r w:rsidRPr="0066026C">
              <w:rPr>
                <w:rFonts w:ascii="Times New Roman" w:hAnsi="Times New Roman" w:cs="Times New Roman"/>
              </w:rPr>
              <w:t>Об основных направлениях совершенствования системы государственного управления</w:t>
            </w:r>
            <w:r w:rsidR="0066026C">
              <w:rPr>
                <w:rFonts w:ascii="Times New Roman" w:hAnsi="Times New Roman" w:cs="Times New Roman"/>
              </w:rPr>
              <w:t>»</w:t>
            </w:r>
          </w:p>
        </w:tc>
      </w:tr>
      <w:tr w:rsidR="00B8263A" w:rsidRPr="0066026C" w:rsidTr="0066026C">
        <w:trPr>
          <w:trHeight w:val="1020"/>
        </w:trPr>
        <w:tc>
          <w:tcPr>
            <w:tcW w:w="908" w:type="dxa"/>
            <w:vAlign w:val="center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lastRenderedPageBreak/>
              <w:t>2.1.4.</w:t>
            </w:r>
          </w:p>
        </w:tc>
        <w:tc>
          <w:tcPr>
            <w:tcW w:w="3662" w:type="dxa"/>
            <w:hideMark/>
          </w:tcPr>
          <w:p w:rsidR="00B8263A" w:rsidRPr="0066026C" w:rsidRDefault="0066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показатель 4.</w:t>
            </w:r>
            <w:r w:rsidR="00B8263A" w:rsidRPr="0066026C">
              <w:rPr>
                <w:rFonts w:ascii="Times New Roman" w:hAnsi="Times New Roman" w:cs="Times New Roman"/>
              </w:rPr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731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hideMark/>
          </w:tcPr>
          <w:p w:rsidR="00B8263A" w:rsidRPr="0066026C" w:rsidRDefault="00B8263A" w:rsidP="0066026C">
            <w:pPr>
              <w:jc w:val="center"/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25" w:type="dxa"/>
            <w:hideMark/>
          </w:tcPr>
          <w:p w:rsidR="00B8263A" w:rsidRPr="0066026C" w:rsidRDefault="00B8263A" w:rsidP="0066026C">
            <w:pPr>
              <w:rPr>
                <w:rFonts w:ascii="Times New Roman" w:hAnsi="Times New Roman" w:cs="Times New Roman"/>
              </w:rPr>
            </w:pPr>
            <w:r w:rsidRPr="0066026C">
              <w:rPr>
                <w:rFonts w:ascii="Times New Roman" w:hAnsi="Times New Roman" w:cs="Times New Roman"/>
              </w:rPr>
              <w:t xml:space="preserve">Федеральный закон от 02.03.2007 </w:t>
            </w:r>
            <w:r w:rsidR="00FD35A2">
              <w:rPr>
                <w:rFonts w:ascii="Times New Roman" w:hAnsi="Times New Roman" w:cs="Times New Roman"/>
              </w:rPr>
              <w:t xml:space="preserve">  </w:t>
            </w:r>
            <w:r w:rsidRPr="0066026C">
              <w:rPr>
                <w:rFonts w:ascii="Times New Roman" w:hAnsi="Times New Roman" w:cs="Times New Roman"/>
              </w:rPr>
              <w:t xml:space="preserve">№25-ФЗ </w:t>
            </w:r>
            <w:r w:rsidR="0066026C">
              <w:rPr>
                <w:rFonts w:ascii="Times New Roman" w:hAnsi="Times New Roman" w:cs="Times New Roman"/>
              </w:rPr>
              <w:t>«</w:t>
            </w:r>
            <w:r w:rsidRPr="0066026C">
              <w:rPr>
                <w:rFonts w:ascii="Times New Roman" w:hAnsi="Times New Roman" w:cs="Times New Roman"/>
              </w:rPr>
              <w:t>О муниципальной службе в Российской Федерации</w:t>
            </w:r>
            <w:r w:rsidR="0066026C">
              <w:rPr>
                <w:rFonts w:ascii="Times New Roman" w:hAnsi="Times New Roman" w:cs="Times New Roman"/>
              </w:rPr>
              <w:t>»</w:t>
            </w:r>
          </w:p>
        </w:tc>
      </w:tr>
    </w:tbl>
    <w:p w:rsidR="005A6137" w:rsidRPr="00B8263A" w:rsidRDefault="005A6137">
      <w:pPr>
        <w:rPr>
          <w:rFonts w:ascii="Times New Roman" w:hAnsi="Times New Roman" w:cs="Times New Roman"/>
        </w:rPr>
      </w:pPr>
    </w:p>
    <w:sectPr w:rsidR="005A6137" w:rsidRPr="00B8263A" w:rsidSect="0066026C">
      <w:headerReference w:type="default" r:id="rId6"/>
      <w:pgSz w:w="16838" w:h="11906" w:orient="landscape"/>
      <w:pgMar w:top="851" w:right="851" w:bottom="3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757" w:rsidRDefault="00C81757" w:rsidP="0066026C">
      <w:pPr>
        <w:spacing w:after="0" w:line="240" w:lineRule="auto"/>
      </w:pPr>
      <w:r>
        <w:separator/>
      </w:r>
    </w:p>
  </w:endnote>
  <w:endnote w:type="continuationSeparator" w:id="0">
    <w:p w:rsidR="00C81757" w:rsidRDefault="00C81757" w:rsidP="0066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757" w:rsidRDefault="00C81757" w:rsidP="0066026C">
      <w:pPr>
        <w:spacing w:after="0" w:line="240" w:lineRule="auto"/>
      </w:pPr>
      <w:r>
        <w:separator/>
      </w:r>
    </w:p>
  </w:footnote>
  <w:footnote w:type="continuationSeparator" w:id="0">
    <w:p w:rsidR="00C81757" w:rsidRDefault="00C81757" w:rsidP="0066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1018"/>
      <w:docPartObj>
        <w:docPartGallery w:val="Page Numbers (Top of Page)"/>
        <w:docPartUnique/>
      </w:docPartObj>
    </w:sdtPr>
    <w:sdtContent>
      <w:p w:rsidR="0066026C" w:rsidRDefault="00846555">
        <w:pPr>
          <w:pStyle w:val="a4"/>
          <w:jc w:val="center"/>
        </w:pPr>
        <w:fldSimple w:instr=" PAGE   \* MERGEFORMAT ">
          <w:r w:rsidR="00AF1280">
            <w:rPr>
              <w:noProof/>
            </w:rPr>
            <w:t>3</w:t>
          </w:r>
        </w:fldSimple>
      </w:p>
    </w:sdtContent>
  </w:sdt>
  <w:p w:rsidR="0066026C" w:rsidRDefault="006602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63A"/>
    <w:rsid w:val="00075248"/>
    <w:rsid w:val="00126DF9"/>
    <w:rsid w:val="00466908"/>
    <w:rsid w:val="004E1D21"/>
    <w:rsid w:val="00546F39"/>
    <w:rsid w:val="005A6137"/>
    <w:rsid w:val="00641866"/>
    <w:rsid w:val="0066026C"/>
    <w:rsid w:val="00846555"/>
    <w:rsid w:val="008B4348"/>
    <w:rsid w:val="008D6F57"/>
    <w:rsid w:val="009F2859"/>
    <w:rsid w:val="00A6170F"/>
    <w:rsid w:val="00A63DF7"/>
    <w:rsid w:val="00AD73D6"/>
    <w:rsid w:val="00AF1280"/>
    <w:rsid w:val="00B10798"/>
    <w:rsid w:val="00B8263A"/>
    <w:rsid w:val="00C81757"/>
    <w:rsid w:val="00CA2EF7"/>
    <w:rsid w:val="00D40FB9"/>
    <w:rsid w:val="00DB452F"/>
    <w:rsid w:val="00DD55F8"/>
    <w:rsid w:val="00F94FB7"/>
    <w:rsid w:val="00FD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26C"/>
  </w:style>
  <w:style w:type="paragraph" w:styleId="a6">
    <w:name w:val="footer"/>
    <w:basedOn w:val="a"/>
    <w:link w:val="a7"/>
    <w:uiPriority w:val="99"/>
    <w:semiHidden/>
    <w:unhideWhenUsed/>
    <w:rsid w:val="00660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026C"/>
  </w:style>
  <w:style w:type="paragraph" w:customStyle="1" w:styleId="ParagraphStyle0">
    <w:name w:val="ParagraphStyle0"/>
    <w:hidden/>
    <w:rsid w:val="00FD35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haracterStyle0">
    <w:name w:val="CharacterStyle0"/>
    <w:hidden/>
    <w:rsid w:val="00FD35A2"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8</cp:revision>
  <cp:lastPrinted>2021-02-05T09:23:00Z</cp:lastPrinted>
  <dcterms:created xsi:type="dcterms:W3CDTF">2021-02-04T04:11:00Z</dcterms:created>
  <dcterms:modified xsi:type="dcterms:W3CDTF">2021-02-05T09:23:00Z</dcterms:modified>
</cp:coreProperties>
</file>