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ook w:val="04A0"/>
      </w:tblPr>
      <w:tblGrid>
        <w:gridCol w:w="854"/>
        <w:gridCol w:w="991"/>
        <w:gridCol w:w="2655"/>
        <w:gridCol w:w="1266"/>
        <w:gridCol w:w="1266"/>
        <w:gridCol w:w="1249"/>
        <w:gridCol w:w="6569"/>
      </w:tblGrid>
      <w:tr w:rsidR="0034075B" w:rsidRPr="0034075B" w:rsidTr="009A5FA7">
        <w:trPr>
          <w:trHeight w:val="108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contextualSpacing w:val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75B" w:rsidRPr="0034075B" w:rsidRDefault="0034075B" w:rsidP="009A5FA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75B" w:rsidRPr="0034075B" w:rsidRDefault="0034075B" w:rsidP="009A5FA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  <w:r w:rsidRPr="0034075B">
              <w:rPr>
                <w:sz w:val="25"/>
                <w:szCs w:val="25"/>
              </w:rPr>
              <w:t xml:space="preserve">Приложение </w:t>
            </w:r>
          </w:p>
          <w:p w:rsidR="0034075B" w:rsidRPr="0034075B" w:rsidRDefault="0034075B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  <w:r w:rsidRPr="0034075B">
              <w:rPr>
                <w:sz w:val="25"/>
                <w:szCs w:val="25"/>
              </w:rPr>
              <w:t xml:space="preserve">к постановлению администрации </w:t>
            </w:r>
          </w:p>
          <w:p w:rsidR="0034075B" w:rsidRPr="0034075B" w:rsidRDefault="0034075B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  <w:r w:rsidRPr="0034075B">
              <w:rPr>
                <w:sz w:val="25"/>
                <w:szCs w:val="25"/>
              </w:rPr>
              <w:t>Березовского муниципального округа</w:t>
            </w:r>
          </w:p>
          <w:p w:rsidR="0034075B" w:rsidRPr="0034075B" w:rsidRDefault="0034075B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  <w:r w:rsidRPr="0034075B">
              <w:rPr>
                <w:sz w:val="25"/>
                <w:szCs w:val="25"/>
              </w:rPr>
              <w:t>от 30.12.2025 №1514</w:t>
            </w:r>
          </w:p>
          <w:p w:rsidR="0034075B" w:rsidRPr="0034075B" w:rsidRDefault="0034075B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</w:p>
          <w:p w:rsidR="0034075B" w:rsidRDefault="0034075B" w:rsidP="009A5FA7">
            <w:pPr>
              <w:spacing w:after="0" w:line="240" w:lineRule="auto"/>
              <w:ind w:left="2209"/>
              <w:jc w:val="both"/>
              <w:rPr>
                <w:sz w:val="20"/>
                <w:szCs w:val="20"/>
              </w:rPr>
            </w:pPr>
            <w:r w:rsidRPr="0034075B">
              <w:rPr>
                <w:sz w:val="25"/>
                <w:szCs w:val="25"/>
              </w:rPr>
              <w:t>Приложение №1</w:t>
            </w:r>
            <w:r w:rsidRPr="0034075B">
              <w:rPr>
                <w:sz w:val="20"/>
                <w:szCs w:val="20"/>
              </w:rPr>
              <w:t xml:space="preserve"> </w:t>
            </w:r>
          </w:p>
          <w:p w:rsidR="009A5FA7" w:rsidRPr="009A5FA7" w:rsidRDefault="009A5FA7" w:rsidP="009A5FA7">
            <w:pPr>
              <w:spacing w:after="0" w:line="240" w:lineRule="auto"/>
              <w:ind w:left="2209"/>
              <w:jc w:val="both"/>
              <w:rPr>
                <w:sz w:val="25"/>
                <w:szCs w:val="25"/>
              </w:rPr>
            </w:pPr>
            <w:r w:rsidRPr="009A5FA7">
              <w:rPr>
                <w:sz w:val="25"/>
                <w:szCs w:val="25"/>
              </w:rPr>
              <w:t>к муниципальной программе</w:t>
            </w:r>
          </w:p>
        </w:tc>
      </w:tr>
      <w:tr w:rsidR="0034075B" w:rsidRPr="0034075B" w:rsidTr="009A5FA7">
        <w:trPr>
          <w:trHeight w:val="525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2"/>
              </w:rPr>
            </w:pPr>
          </w:p>
          <w:p w:rsidR="009A5FA7" w:rsidRDefault="009A5FA7" w:rsidP="009A5FA7">
            <w:pPr>
              <w:spacing w:after="0" w:line="240" w:lineRule="auto"/>
              <w:jc w:val="center"/>
              <w:rPr>
                <w:bCs/>
                <w:sz w:val="22"/>
              </w:rPr>
            </w:pPr>
          </w:p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34075B">
              <w:rPr>
                <w:bCs/>
                <w:sz w:val="22"/>
              </w:rPr>
              <w:t>ЦЕЛИ, ЗАДАЧИ И ЦЕЛЕВЫЕ ПОКАЗАТЕЛИ</w:t>
            </w:r>
          </w:p>
        </w:tc>
      </w:tr>
      <w:tr w:rsidR="0034075B" w:rsidRPr="0034075B" w:rsidTr="009A5FA7">
        <w:trPr>
          <w:trHeight w:val="255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4075B" w:rsidRPr="0034075B" w:rsidTr="009A5FA7">
        <w:trPr>
          <w:trHeight w:val="510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Управление муниципальной собственностью и земельными ресурсами Березовского муниципального округа до 2028 года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34075B" w:rsidRPr="0034075B" w:rsidRDefault="0034075B" w:rsidP="009A5FA7">
      <w:pPr>
        <w:spacing w:after="0" w:line="240" w:lineRule="auto"/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66"/>
        <w:gridCol w:w="1104"/>
        <w:gridCol w:w="2420"/>
        <w:gridCol w:w="992"/>
        <w:gridCol w:w="709"/>
        <w:gridCol w:w="708"/>
        <w:gridCol w:w="709"/>
        <w:gridCol w:w="709"/>
        <w:gridCol w:w="709"/>
        <w:gridCol w:w="708"/>
        <w:gridCol w:w="60"/>
        <w:gridCol w:w="5076"/>
      </w:tblGrid>
      <w:tr w:rsidR="0034075B" w:rsidRPr="0034075B" w:rsidTr="009A5FA7"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contextualSpacing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Pr="0034075B">
              <w:rPr>
                <w:bCs/>
                <w:sz w:val="20"/>
                <w:szCs w:val="20"/>
              </w:rPr>
              <w:t>строки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="009A5FA7">
              <w:rPr>
                <w:bCs/>
                <w:sz w:val="20"/>
                <w:szCs w:val="20"/>
              </w:rPr>
              <w:t xml:space="preserve"> </w:t>
            </w:r>
            <w:r w:rsidRPr="0034075B">
              <w:rPr>
                <w:bCs/>
                <w:sz w:val="20"/>
                <w:szCs w:val="20"/>
              </w:rPr>
              <w:t>цели, задачи, целевого показателя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4075B" w:rsidRPr="0034075B" w:rsidTr="009A5FA7"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2023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2024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2025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2026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2027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2028</w:t>
            </w:r>
          </w:p>
          <w:p w:rsidR="007A580C" w:rsidRPr="0034075B" w:rsidRDefault="007A580C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34075B" w:rsidRPr="0034075B" w:rsidRDefault="0034075B" w:rsidP="009A5FA7">
      <w:pPr>
        <w:spacing w:after="0" w:line="240" w:lineRule="auto"/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66"/>
        <w:gridCol w:w="1104"/>
        <w:gridCol w:w="2420"/>
        <w:gridCol w:w="992"/>
        <w:gridCol w:w="709"/>
        <w:gridCol w:w="708"/>
        <w:gridCol w:w="709"/>
        <w:gridCol w:w="709"/>
        <w:gridCol w:w="709"/>
        <w:gridCol w:w="708"/>
        <w:gridCol w:w="5136"/>
      </w:tblGrid>
      <w:tr w:rsidR="0034075B" w:rsidRPr="0034075B" w:rsidTr="009A5FA7">
        <w:trPr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75B">
              <w:rPr>
                <w:bCs/>
                <w:sz w:val="20"/>
                <w:szCs w:val="20"/>
              </w:rPr>
              <w:t>11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1.«</w:t>
            </w:r>
            <w:r w:rsidRPr="0034075B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9A5FA7" w:rsidP="009A5FA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1.</w:t>
            </w:r>
            <w:r w:rsidR="0034075B" w:rsidRPr="0034075B">
              <w:rPr>
                <w:bCs/>
                <w:color w:val="000000"/>
                <w:sz w:val="20"/>
                <w:szCs w:val="20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</w:t>
            </w:r>
            <w:r w:rsidRPr="0034075B">
              <w:rPr>
                <w:color w:val="000000"/>
                <w:sz w:val="20"/>
                <w:szCs w:val="20"/>
              </w:rPr>
              <w:t>Оптимизация состава муниципального имущества.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1.1.1.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1. Количество муниципальных унитарных предприятий, осуществляющих хозяйственную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34075B">
              <w:rPr>
                <w:sz w:val="20"/>
                <w:szCs w:val="20"/>
              </w:rPr>
              <w:t xml:space="preserve">Указ Президента РФ от 21.12.2017 №618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основных направления государственной политики по развитию конкуренции</w:t>
            </w:r>
            <w:r>
              <w:rPr>
                <w:sz w:val="20"/>
                <w:szCs w:val="20"/>
              </w:rPr>
              <w:t>»</w:t>
            </w:r>
            <w:proofErr w:type="gramEnd"/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1.1.2.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2. Количество хозяйственных обществ с долей Березовского муниципального округа в уставном капитале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34075B">
              <w:rPr>
                <w:sz w:val="20"/>
                <w:szCs w:val="20"/>
              </w:rPr>
              <w:t xml:space="preserve">Указ Президента РФ от 21.12.2017 №618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основных направления государственной политики по развитию конкуренции</w:t>
            </w:r>
            <w:r>
              <w:rPr>
                <w:sz w:val="20"/>
                <w:szCs w:val="20"/>
              </w:rPr>
              <w:t>»</w:t>
            </w:r>
            <w:proofErr w:type="gramEnd"/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1.1.3.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Целевой показатель 3. Количество организованных и проведенных торгов по продаже муниципального имущества и земельных </w:t>
            </w:r>
            <w:r w:rsidRPr="0034075B">
              <w:rPr>
                <w:sz w:val="20"/>
                <w:szCs w:val="20"/>
              </w:rPr>
              <w:lastRenderedPageBreak/>
              <w:t>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Земельный кодекс Российской Федерации, Федерал</w:t>
            </w:r>
            <w:r>
              <w:rPr>
                <w:sz w:val="20"/>
                <w:szCs w:val="20"/>
              </w:rPr>
              <w:t>ьный закон от 21.12.2001 №</w:t>
            </w:r>
            <w:r w:rsidRPr="0034075B">
              <w:rPr>
                <w:sz w:val="20"/>
                <w:szCs w:val="20"/>
              </w:rPr>
              <w:t>178-ФЗ</w:t>
            </w:r>
          </w:p>
          <w:p w:rsidR="0034075B" w:rsidRPr="0034075B" w:rsidRDefault="0034075B" w:rsidP="009A5FA7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приватизации государственного и муниципального имущества</w:t>
            </w:r>
            <w:r>
              <w:rPr>
                <w:sz w:val="20"/>
                <w:szCs w:val="20"/>
              </w:rPr>
              <w:t>»</w:t>
            </w:r>
            <w:r w:rsidR="007A580C" w:rsidRPr="0034075B">
              <w:rPr>
                <w:sz w:val="20"/>
                <w:szCs w:val="20"/>
              </w:rPr>
              <w:t xml:space="preserve"> (ред. от 06.04.2024)</w:t>
            </w:r>
            <w:r w:rsidRPr="0034075B">
              <w:rPr>
                <w:sz w:val="20"/>
                <w:szCs w:val="20"/>
              </w:rPr>
              <w:t>, Фе</w:t>
            </w:r>
            <w:r>
              <w:rPr>
                <w:sz w:val="20"/>
                <w:szCs w:val="20"/>
              </w:rPr>
              <w:t>деральный закон от 22.07.2008 №</w:t>
            </w:r>
            <w:r w:rsidRPr="0034075B">
              <w:rPr>
                <w:sz w:val="20"/>
                <w:szCs w:val="20"/>
              </w:rPr>
              <w:t xml:space="preserve">159-ФЗ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 xml:space="preserve">Об особенностях отчуждения движимого и недвижимого имущества, находящегося в </w:t>
            </w:r>
            <w:r w:rsidRPr="0034075B">
              <w:rPr>
                <w:sz w:val="20"/>
                <w:szCs w:val="20"/>
              </w:rPr>
              <w:lastRenderedPageBreak/>
              <w:t>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 xml:space="preserve">, </w:t>
            </w:r>
            <w:r w:rsidR="007A580C">
              <w:rPr>
                <w:sz w:val="20"/>
                <w:szCs w:val="20"/>
              </w:rPr>
              <w:t xml:space="preserve">(ред. от 06.04.2024). </w:t>
            </w:r>
            <w:proofErr w:type="gramStart"/>
            <w:r w:rsidRPr="0034075B">
              <w:rPr>
                <w:sz w:val="20"/>
                <w:szCs w:val="20"/>
              </w:rPr>
              <w:t xml:space="preserve">Прогнозный план (программа) приватизации муниципального имущества на 2023 год и плановый период 2024 и 2025 годов, утвержденный решением Думы Березовского городского округа от 24.11.2022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 xml:space="preserve">92, Прогнозный план (программа) приватизации муниципального имущества на 2024 год и плановый период 2025 и 2026 годов, утвержденный решением Думы Березовского городского округа от 30.11.2023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>162, Прогнозный план (программа) приватизации муниципального имущества на 2025 год и</w:t>
            </w:r>
            <w:proofErr w:type="gramEnd"/>
            <w:r w:rsidRPr="0034075B">
              <w:rPr>
                <w:sz w:val="20"/>
                <w:szCs w:val="20"/>
              </w:rPr>
              <w:t xml:space="preserve"> плановый период 2026 и 2027 годов, утвержденный решением Думы Березовского городского округа от 28.11.2024 </w:t>
            </w:r>
            <w:r>
              <w:rPr>
                <w:sz w:val="20"/>
                <w:szCs w:val="20"/>
              </w:rPr>
              <w:t>№</w:t>
            </w:r>
            <w:r w:rsidR="007A580C">
              <w:rPr>
                <w:sz w:val="20"/>
                <w:szCs w:val="20"/>
              </w:rPr>
              <w:t>233,</w:t>
            </w:r>
          </w:p>
          <w:p w:rsidR="0034075B" w:rsidRPr="0034075B" w:rsidRDefault="0034075B" w:rsidP="009A5FA7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Положение об организации и проведен</w:t>
            </w:r>
            <w:proofErr w:type="gramStart"/>
            <w:r w:rsidRPr="0034075B">
              <w:rPr>
                <w:sz w:val="20"/>
                <w:szCs w:val="20"/>
              </w:rPr>
              <w:t>ии ау</w:t>
            </w:r>
            <w:proofErr w:type="gramEnd"/>
            <w:r w:rsidRPr="0034075B">
              <w:rPr>
                <w:sz w:val="20"/>
                <w:szCs w:val="20"/>
              </w:rPr>
              <w:t>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</w:t>
            </w:r>
            <w:r w:rsidR="009A5FA7">
              <w:rPr>
                <w:sz w:val="20"/>
                <w:szCs w:val="20"/>
              </w:rPr>
              <w:t>родского округа от 30.07.2015 №</w:t>
            </w:r>
            <w:r w:rsidRPr="0034075B">
              <w:rPr>
                <w:sz w:val="20"/>
                <w:szCs w:val="20"/>
              </w:rPr>
              <w:t>250 (в ред. от 30.06.2022 №69)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</w:t>
            </w:r>
            <w:r w:rsidRPr="0034075B">
              <w:rPr>
                <w:color w:val="000000"/>
                <w:sz w:val="20"/>
                <w:szCs w:val="20"/>
              </w:rPr>
              <w:t>Организация учета и мониторинга муниципального имущества, актуализация сведений реестра муниципального имущества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1.2.1.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Целевой показатель 1. Количество </w:t>
            </w:r>
            <w:proofErr w:type="spellStart"/>
            <w:r w:rsidRPr="0034075B">
              <w:rPr>
                <w:sz w:val="20"/>
                <w:szCs w:val="20"/>
              </w:rPr>
              <w:t>проинвентаризированных</w:t>
            </w:r>
            <w:proofErr w:type="spellEnd"/>
            <w:r w:rsidRPr="0034075B">
              <w:rPr>
                <w:sz w:val="20"/>
                <w:szCs w:val="20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70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Федеральный закон от 13.07.2015 №218-ФЗ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государственной регистрации недвижимости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1.2.2.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Целевой показатель 2. Количество объектов бесхозяйного и выморочного имущества, на которые зарегистрировано право собственности Березовского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33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Федеральный закон от 13.07.2015 №218-ФЗ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государственной регистрации недвижимости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Задача 1.3. Вовлечение муниципальных активов и земельных участков в хозяйственный оборот.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1.3.1.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Целевой показатель 1. </w:t>
            </w:r>
            <w:r w:rsidRPr="0034075B">
              <w:rPr>
                <w:sz w:val="20"/>
                <w:szCs w:val="20"/>
              </w:rPr>
              <w:lastRenderedPageBreak/>
              <w:t>Количество земельных участков,  предоставленных в аренду по результатам торгов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Земельный кодекс Российской Федерации, Фе</w:t>
            </w:r>
            <w:r>
              <w:rPr>
                <w:sz w:val="20"/>
                <w:szCs w:val="20"/>
              </w:rPr>
              <w:t xml:space="preserve">деральный </w:t>
            </w:r>
            <w:r>
              <w:rPr>
                <w:sz w:val="20"/>
                <w:szCs w:val="20"/>
              </w:rPr>
              <w:lastRenderedPageBreak/>
              <w:t>закон от 25.10.2001 №</w:t>
            </w:r>
            <w:r w:rsidRPr="0034075B">
              <w:rPr>
                <w:sz w:val="20"/>
                <w:szCs w:val="20"/>
              </w:rPr>
              <w:t xml:space="preserve">137-ФЗ 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введении в действие Земельного кодекса Российской Федерации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 xml:space="preserve"> 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1.3.2.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2. Количество предоставленных в пользование/аренду объектов муниципального нежилого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Положение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порядке передачи в аренду муниципального имущества Березовского городского округа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>, утвержденное Решением Думы Березовского го</w:t>
            </w:r>
            <w:r>
              <w:rPr>
                <w:sz w:val="20"/>
                <w:szCs w:val="20"/>
              </w:rPr>
              <w:t>родского округа от 31.05.2012 №</w:t>
            </w:r>
            <w:r w:rsidRPr="0034075B">
              <w:rPr>
                <w:sz w:val="20"/>
                <w:szCs w:val="20"/>
              </w:rPr>
              <w:t>285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1.3.3.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Фед</w:t>
            </w:r>
            <w:r>
              <w:rPr>
                <w:sz w:val="20"/>
                <w:szCs w:val="20"/>
              </w:rPr>
              <w:t>еральный закон от  13.03.2006 №</w:t>
            </w:r>
            <w:r w:rsidRPr="0034075B">
              <w:rPr>
                <w:sz w:val="20"/>
                <w:szCs w:val="20"/>
              </w:rPr>
              <w:t xml:space="preserve">38-ФЗ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рекламе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 xml:space="preserve">, Положение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использованием муниципального имущества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>, утвержденное Решением Думы Березовского го</w:t>
            </w:r>
            <w:r>
              <w:rPr>
                <w:sz w:val="20"/>
                <w:szCs w:val="20"/>
              </w:rPr>
              <w:t>родского округа от 21.08.2008 №</w:t>
            </w:r>
            <w:r w:rsidRPr="0034075B">
              <w:rPr>
                <w:sz w:val="20"/>
                <w:szCs w:val="20"/>
              </w:rPr>
              <w:t xml:space="preserve">443 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</w:t>
            </w:r>
            <w:r w:rsidRPr="0034075B">
              <w:rPr>
                <w:color w:val="000000"/>
                <w:sz w:val="20"/>
                <w:szCs w:val="20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муниципального округа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1.4.1.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млн</w:t>
            </w:r>
            <w:proofErr w:type="gramStart"/>
            <w:r w:rsidRPr="0034075B">
              <w:rPr>
                <w:sz w:val="20"/>
                <w:szCs w:val="20"/>
              </w:rPr>
              <w:t>.р</w:t>
            </w:r>
            <w:proofErr w:type="gramEnd"/>
            <w:r w:rsidRPr="0034075B">
              <w:rPr>
                <w:sz w:val="20"/>
                <w:szCs w:val="20"/>
              </w:rPr>
              <w:t>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270,3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439,2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389,83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252,0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259,9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288,8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Федеральный закон от 21.12.2001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>178-ФЗ</w:t>
            </w:r>
          </w:p>
          <w:p w:rsidR="0034075B" w:rsidRPr="0034075B" w:rsidRDefault="0034075B" w:rsidP="007A580C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приватизации государственного и муниципального имущества</w:t>
            </w:r>
            <w:r>
              <w:rPr>
                <w:sz w:val="20"/>
                <w:szCs w:val="20"/>
              </w:rPr>
              <w:t>»</w:t>
            </w:r>
            <w:r w:rsidR="007A580C" w:rsidRPr="0034075B">
              <w:rPr>
                <w:sz w:val="20"/>
                <w:szCs w:val="20"/>
              </w:rPr>
              <w:t xml:space="preserve"> (ред. от 06.04.2024)</w:t>
            </w:r>
            <w:r w:rsidRPr="0034075B">
              <w:rPr>
                <w:sz w:val="20"/>
                <w:szCs w:val="20"/>
              </w:rPr>
              <w:t xml:space="preserve">, Федеральный закон от 22.07.2008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 xml:space="preserve">159-ФЗ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sz w:val="20"/>
                <w:szCs w:val="20"/>
              </w:rPr>
              <w:t>»</w:t>
            </w:r>
            <w:r w:rsidRPr="0034075B">
              <w:rPr>
                <w:sz w:val="20"/>
                <w:szCs w:val="20"/>
              </w:rPr>
              <w:t xml:space="preserve">, </w:t>
            </w:r>
            <w:r w:rsidR="007A580C">
              <w:rPr>
                <w:sz w:val="20"/>
                <w:szCs w:val="20"/>
              </w:rPr>
              <w:t xml:space="preserve">(ред. от 06.04.2024). </w:t>
            </w:r>
            <w:proofErr w:type="gramStart"/>
            <w:r w:rsidRPr="0034075B">
              <w:rPr>
                <w:sz w:val="20"/>
                <w:szCs w:val="20"/>
              </w:rPr>
              <w:t xml:space="preserve">Прогнозный план (программа) приватизации муниципального имущества на 2023 год и плановый период 2024 и 2025 годов, утвержденный решением Думы Березовского городского округа от 24.11.2022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 xml:space="preserve">92, Прогнозный план (программа) приватизации муниципального имущества на 2024 год и плановый период 2025 и 2026 годов, утвержденный решением Думы Березовского городского округа от 30.11.2023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>162, Прогнозный план (программа) приватизации муниципального имущества на 2025 год и</w:t>
            </w:r>
            <w:proofErr w:type="gramEnd"/>
            <w:r w:rsidRPr="0034075B">
              <w:rPr>
                <w:sz w:val="20"/>
                <w:szCs w:val="20"/>
              </w:rPr>
              <w:t xml:space="preserve"> </w:t>
            </w:r>
            <w:proofErr w:type="gramStart"/>
            <w:r w:rsidRPr="0034075B">
              <w:rPr>
                <w:sz w:val="20"/>
                <w:szCs w:val="20"/>
              </w:rPr>
              <w:t xml:space="preserve">плановый период 2026 и 2027 годов, утвержденный решением Думы Березовского городского округа от  28.11.2024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 xml:space="preserve">233,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</w:t>
            </w:r>
            <w:r w:rsidRPr="0034075B">
              <w:rPr>
                <w:sz w:val="20"/>
                <w:szCs w:val="20"/>
              </w:rPr>
              <w:lastRenderedPageBreak/>
              <w:t xml:space="preserve">на территории Березовского городского округа, утвержденное Решением Думы Березовского городского округа от 30.07.2015 </w:t>
            </w:r>
            <w:r>
              <w:rPr>
                <w:sz w:val="20"/>
                <w:szCs w:val="20"/>
              </w:rPr>
              <w:t>№</w:t>
            </w:r>
            <w:r w:rsidRPr="0034075B">
              <w:rPr>
                <w:sz w:val="20"/>
                <w:szCs w:val="20"/>
              </w:rPr>
              <w:t>250</w:t>
            </w:r>
            <w:proofErr w:type="gramEnd"/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1.5.</w:t>
            </w:r>
            <w:r w:rsidRPr="0034075B">
              <w:rPr>
                <w:color w:val="000000"/>
                <w:sz w:val="20"/>
                <w:szCs w:val="20"/>
              </w:rPr>
              <w:t xml:space="preserve">Оказание имущественной поддержки субъектам малого и среднего предпринимательства на территории Березовского муниципального округа 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1.5.1.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1. 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Фе</w:t>
            </w:r>
            <w:r>
              <w:rPr>
                <w:sz w:val="20"/>
                <w:szCs w:val="20"/>
              </w:rPr>
              <w:t>деральный закон от 24.07.2007 №</w:t>
            </w:r>
            <w:r w:rsidRPr="0034075B">
              <w:rPr>
                <w:sz w:val="20"/>
                <w:szCs w:val="20"/>
              </w:rPr>
              <w:t xml:space="preserve">209-ФЗ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 развитии малого и среднего предпринимательства в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2.«</w:t>
            </w:r>
            <w:r w:rsidRPr="0034075B">
              <w:rPr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муниципального округа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34075B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</w:t>
            </w:r>
            <w:bookmarkStart w:id="0" w:name="_GoBack"/>
            <w:bookmarkEnd w:id="0"/>
            <w:r w:rsidRPr="0034075B">
              <w:rPr>
                <w:bCs/>
                <w:color w:val="000000"/>
                <w:sz w:val="20"/>
                <w:szCs w:val="20"/>
              </w:rPr>
              <w:t>езовского муниципального округа до 2028 года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4075B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2.</w:t>
            </w:r>
            <w:r w:rsidRPr="0034075B">
              <w:rPr>
                <w:bCs/>
                <w:color w:val="000000"/>
                <w:sz w:val="20"/>
                <w:szCs w:val="20"/>
              </w:rPr>
              <w:t xml:space="preserve">Эффективная реализация муниципальной программы 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075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</w:t>
            </w:r>
            <w:r w:rsidRPr="0034075B">
              <w:rPr>
                <w:color w:val="000000"/>
                <w:sz w:val="20"/>
                <w:szCs w:val="20"/>
              </w:rPr>
              <w:t xml:space="preserve">Формирование и развитие обеспечивающих механизмов эффективной реализации муниципальной программы 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2.1.1.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1. 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Фе</w:t>
            </w:r>
            <w:r>
              <w:rPr>
                <w:sz w:val="20"/>
                <w:szCs w:val="20"/>
              </w:rPr>
              <w:t>деральный закон от 06.10.2003 №</w:t>
            </w:r>
            <w:r w:rsidRPr="0034075B">
              <w:rPr>
                <w:sz w:val="20"/>
                <w:szCs w:val="20"/>
              </w:rPr>
              <w:t xml:space="preserve">131-ФЗ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2.1.2.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Федеральный закон от 27.07.2010 №210-ФЗ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организации предоставления государственных и муниципальных услуг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2.1.3.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Указ Президента РФ от 07.05.2012 №601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34075B" w:rsidRPr="0034075B" w:rsidTr="009A5F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2.1.4.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Целевой показатель 4. </w:t>
            </w:r>
            <w:r w:rsidRPr="0034075B">
              <w:rPr>
                <w:sz w:val="20"/>
                <w:szCs w:val="20"/>
              </w:rPr>
              <w:lastRenderedPageBreak/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>100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5B" w:rsidRPr="0034075B" w:rsidRDefault="0034075B" w:rsidP="009A5FA7">
            <w:pPr>
              <w:spacing w:after="0" w:line="240" w:lineRule="auto"/>
              <w:rPr>
                <w:sz w:val="20"/>
                <w:szCs w:val="20"/>
              </w:rPr>
            </w:pPr>
            <w:r w:rsidRPr="0034075B">
              <w:rPr>
                <w:sz w:val="20"/>
                <w:szCs w:val="20"/>
              </w:rPr>
              <w:t xml:space="preserve">Федеральный закон от 02.03.2007 №25-ФЗ </w:t>
            </w:r>
            <w:r>
              <w:rPr>
                <w:sz w:val="20"/>
                <w:szCs w:val="20"/>
              </w:rPr>
              <w:t>«</w:t>
            </w:r>
            <w:r w:rsidRPr="0034075B">
              <w:rPr>
                <w:sz w:val="20"/>
                <w:szCs w:val="20"/>
              </w:rPr>
              <w:t xml:space="preserve">О </w:t>
            </w:r>
            <w:r w:rsidRPr="0034075B">
              <w:rPr>
                <w:sz w:val="20"/>
                <w:szCs w:val="20"/>
              </w:rPr>
              <w:lastRenderedPageBreak/>
              <w:t>муниципальной службе в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34075B" w:rsidRPr="0034075B" w:rsidRDefault="0034075B" w:rsidP="009A5FA7">
      <w:pPr>
        <w:spacing w:after="0" w:line="240" w:lineRule="auto"/>
      </w:pPr>
    </w:p>
    <w:p w:rsidR="008B7FAD" w:rsidRPr="0034075B" w:rsidRDefault="008B7FAD" w:rsidP="009A5FA7">
      <w:pPr>
        <w:spacing w:after="0" w:line="240" w:lineRule="auto"/>
      </w:pPr>
    </w:p>
    <w:sectPr w:rsidR="008B7FAD" w:rsidRPr="0034075B" w:rsidSect="009A5FA7">
      <w:headerReference w:type="default" r:id="rId6"/>
      <w:headerReference w:type="first" r:id="rId7"/>
      <w:pgSz w:w="16838" w:h="11906" w:orient="landscape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53" w:rsidRDefault="00AB1453" w:rsidP="0034075B">
      <w:pPr>
        <w:spacing w:after="0" w:line="240" w:lineRule="auto"/>
      </w:pPr>
      <w:r>
        <w:separator/>
      </w:r>
    </w:p>
  </w:endnote>
  <w:endnote w:type="continuationSeparator" w:id="0">
    <w:p w:rsidR="00AB1453" w:rsidRDefault="00AB1453" w:rsidP="0034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53" w:rsidRDefault="00AB1453" w:rsidP="0034075B">
      <w:pPr>
        <w:spacing w:after="0" w:line="240" w:lineRule="auto"/>
      </w:pPr>
      <w:r>
        <w:separator/>
      </w:r>
    </w:p>
  </w:footnote>
  <w:footnote w:type="continuationSeparator" w:id="0">
    <w:p w:rsidR="00AB1453" w:rsidRDefault="00AB1453" w:rsidP="0034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8640"/>
      <w:docPartObj>
        <w:docPartGallery w:val="Page Numbers (Top of Page)"/>
        <w:docPartUnique/>
      </w:docPartObj>
    </w:sdtPr>
    <w:sdtContent>
      <w:p w:rsidR="009A5FA7" w:rsidRDefault="00C41FF4">
        <w:pPr>
          <w:pStyle w:val="a3"/>
          <w:jc w:val="center"/>
        </w:pPr>
        <w:fldSimple w:instr=" PAGE   \* MERGEFORMAT ">
          <w:r w:rsidR="007A580C">
            <w:rPr>
              <w:noProof/>
            </w:rPr>
            <w:t>3</w:t>
          </w:r>
        </w:fldSimple>
      </w:p>
    </w:sdtContent>
  </w:sdt>
  <w:p w:rsidR="0034075B" w:rsidRDefault="003407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8641"/>
      <w:docPartObj>
        <w:docPartGallery w:val="Page Numbers (Top of Page)"/>
        <w:docPartUnique/>
      </w:docPartObj>
    </w:sdtPr>
    <w:sdtContent>
      <w:p w:rsidR="009A5FA7" w:rsidRDefault="00C41FF4">
        <w:pPr>
          <w:pStyle w:val="a3"/>
          <w:jc w:val="center"/>
        </w:pPr>
        <w:fldSimple w:instr=" PAGE   \* MERGEFORMAT ">
          <w:r w:rsidR="007A580C">
            <w:rPr>
              <w:noProof/>
            </w:rPr>
            <w:t>1</w:t>
          </w:r>
        </w:fldSimple>
      </w:p>
    </w:sdtContent>
  </w:sdt>
  <w:p w:rsidR="009A5FA7" w:rsidRDefault="009A5F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5B"/>
    <w:rsid w:val="000531A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4075B"/>
    <w:rsid w:val="003743A4"/>
    <w:rsid w:val="003B4CE3"/>
    <w:rsid w:val="00482673"/>
    <w:rsid w:val="00632DE7"/>
    <w:rsid w:val="00735A81"/>
    <w:rsid w:val="007A580C"/>
    <w:rsid w:val="007D66AF"/>
    <w:rsid w:val="00870760"/>
    <w:rsid w:val="008B7FAD"/>
    <w:rsid w:val="008C4C5D"/>
    <w:rsid w:val="00902793"/>
    <w:rsid w:val="00975420"/>
    <w:rsid w:val="009A5FA7"/>
    <w:rsid w:val="009B1F2E"/>
    <w:rsid w:val="009F2EF5"/>
    <w:rsid w:val="009F54CD"/>
    <w:rsid w:val="00A22FC2"/>
    <w:rsid w:val="00A640F6"/>
    <w:rsid w:val="00A85D2E"/>
    <w:rsid w:val="00AB1453"/>
    <w:rsid w:val="00AC745F"/>
    <w:rsid w:val="00B364AB"/>
    <w:rsid w:val="00B46479"/>
    <w:rsid w:val="00B52493"/>
    <w:rsid w:val="00C369B8"/>
    <w:rsid w:val="00C41FF4"/>
    <w:rsid w:val="00C7599E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5B"/>
    <w:pPr>
      <w:spacing w:after="160" w:line="259" w:lineRule="auto"/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75B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semiHidden/>
    <w:unhideWhenUsed/>
    <w:rsid w:val="00340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075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2026-01-13T05:44:00Z</cp:lastPrinted>
  <dcterms:created xsi:type="dcterms:W3CDTF">2026-01-13T05:23:00Z</dcterms:created>
  <dcterms:modified xsi:type="dcterms:W3CDTF">2026-01-13T10:22:00Z</dcterms:modified>
</cp:coreProperties>
</file>