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06A" w:rsidRDefault="0002206A" w:rsidP="000220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</w:t>
      </w:r>
    </w:p>
    <w:p w:rsidR="0002206A" w:rsidRDefault="0002206A" w:rsidP="000220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02206A" w:rsidRDefault="0002206A" w:rsidP="000220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02206A" w:rsidRDefault="0002206A" w:rsidP="000220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от 12.07.2018 №565</w:t>
      </w:r>
    </w:p>
    <w:bookmarkEnd w:id="0"/>
    <w:p w:rsidR="0002206A" w:rsidRDefault="0002206A" w:rsidP="000220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2206A" w:rsidRDefault="0002206A" w:rsidP="000220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206A" w:rsidRDefault="0002206A" w:rsidP="000220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206A" w:rsidRDefault="0002206A" w:rsidP="000220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2206A" w:rsidRDefault="0002206A" w:rsidP="000220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Березовского городского округа</w:t>
      </w:r>
    </w:p>
    <w:p w:rsidR="0002206A" w:rsidRDefault="0002206A" w:rsidP="00022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культуры, физической культуры и спорта и работы с молодежью в Березовском городском округе до 2020 года»</w:t>
      </w:r>
    </w:p>
    <w:p w:rsidR="0002206A" w:rsidRDefault="0002206A" w:rsidP="00022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7796"/>
      </w:tblGrid>
      <w:tr w:rsidR="0002206A" w:rsidRPr="0002206A" w:rsidTr="0002206A">
        <w:trPr>
          <w:trHeight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 xml:space="preserve">Ответственный </w:t>
            </w:r>
            <w:r w:rsidRPr="0002206A">
              <w:rPr>
                <w:lang w:eastAsia="en-US"/>
              </w:rPr>
              <w:br/>
              <w:t xml:space="preserve">исполнитель   </w:t>
            </w:r>
            <w:r w:rsidRPr="0002206A">
              <w:rPr>
                <w:lang w:eastAsia="en-US"/>
              </w:rPr>
              <w:br/>
              <w:t xml:space="preserve">программы  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Управление культуры и спорта Березовского городского округа</w:t>
            </w:r>
          </w:p>
        </w:tc>
      </w:tr>
      <w:tr w:rsidR="0002206A" w:rsidRPr="0002206A" w:rsidTr="0002206A">
        <w:trPr>
          <w:trHeight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 xml:space="preserve">Сроки реализации    </w:t>
            </w:r>
            <w:r w:rsidRPr="0002206A">
              <w:rPr>
                <w:lang w:eastAsia="en-US"/>
              </w:rPr>
              <w:br/>
              <w:t xml:space="preserve">муниципальной программы  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На постоянной основе 01.01.2014 – 31.12.2020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</w:p>
        </w:tc>
      </w:tr>
      <w:tr w:rsidR="0002206A" w:rsidRPr="0002206A" w:rsidTr="0002206A">
        <w:trPr>
          <w:trHeight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Цели и задачи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Цели программы: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1.Создание благоприятных условий для устойчивого развития сферы культуры;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2.Создание благоприятных условий для устойчивого развития сферы дополнительного образования в сфере культуры;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3.Создание условий для развития массовой физической культуры и спорта, формирование у населения потребности в здоровом образе жизни;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4.Создание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5.Обеспечение условий для реализации мероприятий муниципальной программы в соответствии с установленными сроками и задачами.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 xml:space="preserve">Задачи программы: 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1.Повышение доступности и качества библиотечных услуг;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2.Обеспечение доступа граждан к участию в культурной жизни, реализация творческого потенциала;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3.Модернизация и укрепление материально-технической базы учреждений культуры;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4.Повышение качества и доступности услуг социально-культурного, просветительского, развлекательного характера доступных для широких слоев населения;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5.Создание условий для развития кадрового и творческого потенциала сферы культуры;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6.Формирование историко-культурного воспитания граждан, знание о культурно-исторических традициях России и Урала, навыков межкультурного диалога;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7.Повышение антитеррористической защищенности объектов культуры;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8.Развитие системы дополнительного образования детей;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9.Модернизация и укрепление материально-технической базы учреждений дополнительного образования детей;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 xml:space="preserve">10.Повышение антитеррористической защищенности объектов </w:t>
            </w:r>
            <w:r w:rsidRPr="0002206A">
              <w:rPr>
                <w:lang w:eastAsia="en-US"/>
              </w:rPr>
              <w:lastRenderedPageBreak/>
              <w:t>дополнительного образования;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11.Создание и развитие эффективной и доступной для различных групп населения инфраструктуры сферы физической культуры и спорта;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12.Оснащение отрасли высококвалифицированными кадрами и их обучение;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13.Увеличение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14.Повышение антитеррористической защищенности объектов культуры;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15.Формирование целостной системы поддержки обладающей лидерскими навыками, инициативной и талантливой молодежи;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16.Формирование культуры здорового образа жизни, ценностных установок на создание семьи, ответственное материнство и отцовство;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17.Оздоровление детей и подростков в каникулярное время;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18.Вовлечение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19.Гражданско-патриотическое воспитание молодежи, содействие формированию правовых, культурных ценностей в молодежной среде;</w:t>
            </w:r>
          </w:p>
          <w:p w:rsidR="0002206A" w:rsidRPr="0002206A" w:rsidRDefault="0002206A" w:rsidP="0002206A">
            <w:pPr>
              <w:pStyle w:val="ConsPlusCell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20.Обеспечение эффективной деятельности управления культуры и спорта Березовского городского округа по реализации муниципальной программы «Развитие культуры, физической культуры и спорта и работы с молодежью в Березовском городском округе до 2020 года».</w:t>
            </w:r>
          </w:p>
        </w:tc>
      </w:tr>
      <w:tr w:rsidR="0002206A" w:rsidRPr="0002206A" w:rsidTr="0002206A">
        <w:trPr>
          <w:trHeight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Подпрограмма 1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«Развитие культуры»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 xml:space="preserve">Подпрограмма 2 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«Развитие образования в сфере культуры и искусства»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Подпрограмма 3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«Развитие физической культуры и спорта»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 xml:space="preserve">Подпрограмма 4 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«Молодежь - наше будущее»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 xml:space="preserve">Подпрограмма 5 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«Обеспечение реализации муниципальной программы «Развитие культуры, физической культуры и спорта, и работы с молодежью в Березовском городском округе до 2020 года».</w:t>
            </w:r>
          </w:p>
        </w:tc>
      </w:tr>
      <w:tr w:rsidR="0002206A" w:rsidRPr="0002206A" w:rsidTr="0002206A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 xml:space="preserve">Перечень основных целевых       </w:t>
            </w:r>
            <w:r w:rsidRPr="0002206A">
              <w:rPr>
                <w:lang w:eastAsia="en-US"/>
              </w:rPr>
              <w:br/>
              <w:t xml:space="preserve">показателей муниципальной    </w:t>
            </w:r>
            <w:r w:rsidRPr="0002206A">
              <w:rPr>
                <w:lang w:eastAsia="en-US"/>
              </w:rPr>
              <w:br/>
              <w:t xml:space="preserve">программы  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1.Увеличение количества библиографических записей в электронном каталоге библиотек Березовского городского округа;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2.Увеличение численности участников культурно-досуговых мероприятий;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3.Доля муниципальных учреждений культуры, находящихся в удовлетворительном состоянии, в общем количестве таких учреждений;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4.Увеличение количества посещений театрально-концертных мероприятий (по сравнению с предыдущим годом);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5.Посещаемость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6.Число грантов для поддержки значимых для социокультурного развития Березовского городского округа проектов организаций культуры и искусства в сфере театрального, музыкального, хореографического и циркового искусства;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 xml:space="preserve">7.Доля объектов культурного наследия, находящихся в </w:t>
            </w:r>
            <w:r w:rsidRPr="0002206A">
              <w:rPr>
                <w:lang w:eastAsia="en-US"/>
              </w:rPr>
              <w:lastRenderedPageBreak/>
              <w:t>удовлетворительном состоянии, в общем количестве объектов культурного наследия местного (муниципального) значения;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8.Доля муниципальных учреждений культуры, оснащенных современными комплексными системами и средствами обеспечения сохранности и безопасности людей и зданий, от их общего количества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9.Доля детей, обучающихся в детских школах искусств, в общем количестве детей возрастной категории 7-15 лет, проживающих в Березовском городском округе;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10.Доля детских школ искусств, находящихся в удовлетворительном состоянии, в общем количестве таких учреждений;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11.Доля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12.Обеспеченность спортивными залами (в процентах от нормативной потребности субъектов РФ);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13.Обеспечение физкультурными кадрами;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14.Удельный вес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  <w:r w:rsidRPr="0002206A">
              <w:rPr>
                <w:lang w:eastAsia="en-US"/>
              </w:rPr>
              <w:t>Доля граждан Березовского городского округа, выполнивших нормативы испытаний (тестов) Всероссийского физк</w:t>
            </w:r>
            <w:r>
              <w:rPr>
                <w:lang w:eastAsia="en-US"/>
              </w:rPr>
              <w:t>ультурно-спортивного комплекса «</w:t>
            </w:r>
            <w:r w:rsidRPr="0002206A">
              <w:rPr>
                <w:lang w:eastAsia="en-US"/>
              </w:rPr>
              <w:t>Готов к труду и о</w:t>
            </w:r>
            <w:r>
              <w:rPr>
                <w:lang w:eastAsia="en-US"/>
              </w:rPr>
              <w:t>бороне»</w:t>
            </w:r>
            <w:r w:rsidRPr="0002206A">
              <w:rPr>
                <w:lang w:eastAsia="en-US"/>
              </w:rPr>
              <w:t xml:space="preserve"> в общей численности населения, принявших участие в выполнении нормативов испытаний (тестов) ГТО;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  <w:r w:rsidRPr="0002206A">
              <w:rPr>
                <w:lang w:eastAsia="en-US"/>
              </w:rPr>
              <w:t>Доля учащихся и студентов Березовского городского округа, систематически занимающихся физической культурной и спортом, в общей численности учащихся и студентов Березовского городского округа;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  <w:r w:rsidRPr="0002206A">
              <w:rPr>
                <w:lang w:eastAsia="en-US"/>
              </w:rPr>
              <w:t>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  <w:r w:rsidRPr="0002206A">
              <w:rPr>
                <w:lang w:eastAsia="en-US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19</w:t>
            </w:r>
            <w:r>
              <w:rPr>
                <w:lang w:eastAsia="en-US"/>
              </w:rPr>
              <w:t>.</w:t>
            </w:r>
            <w:r w:rsidRPr="0002206A">
              <w:rPr>
                <w:lang w:eastAsia="en-US"/>
              </w:rPr>
              <w:t>Доля исполненных предписаний надзорных органов в общем количестве таких предписаний в отношении учреждений спорта;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20.Доля молодых граждан в возрасте от 14 до 30 лет, регулярно участвующих в деятельности общественных объединений, движений и различных форм общественного самоуправления, от общей численности молодых граждан в возрасте от 14 до 30 лет;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21.Доля граждан в возрасте от 14 до 30 лет, вовлеченных в программы по формированию ценностей семейного образа жизни;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22.Доля поддержанных молодежных инициатив от общего количества молодежных инициатив по результатам грантовых конкурсов;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23.Количество детей и подростков, оздор</w:t>
            </w:r>
            <w:r>
              <w:rPr>
                <w:lang w:eastAsia="en-US"/>
              </w:rPr>
              <w:t>овленных на территории Березовского городского округа</w:t>
            </w:r>
            <w:r w:rsidRPr="0002206A">
              <w:rPr>
                <w:lang w:eastAsia="en-US"/>
              </w:rPr>
              <w:t>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24.Доля граждан в возрасте от 14 до 30 лет, вовлеченных в программы по формированию ценностей семейного образа жизни;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 xml:space="preserve">25.Доля молодых граждан в возрасте от 14 до 30 лет, вовлеченных в мероприятия по приоритетным направлениям молодежной политики от </w:t>
            </w:r>
            <w:r w:rsidRPr="0002206A">
              <w:rPr>
                <w:lang w:eastAsia="en-US"/>
              </w:rPr>
              <w:lastRenderedPageBreak/>
              <w:t>общего числа молодежи;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26.Уровень выполнения значений целевых показателей муниципальной программы;</w:t>
            </w:r>
          </w:p>
          <w:p w:rsidR="0002206A" w:rsidRPr="0002206A" w:rsidRDefault="0002206A" w:rsidP="0002206A">
            <w:pPr>
              <w:pStyle w:val="Default"/>
              <w:jc w:val="both"/>
              <w:rPr>
                <w:lang w:eastAsia="en-US"/>
              </w:rPr>
            </w:pPr>
            <w:r w:rsidRPr="0002206A">
              <w:rPr>
                <w:lang w:eastAsia="en-US"/>
              </w:rPr>
              <w:t>27.Количество граждан (бывших муниципальных служащих), получающих дополнительное пенсионное обеспечение.</w:t>
            </w:r>
          </w:p>
        </w:tc>
      </w:tr>
      <w:tr w:rsidR="0002206A" w:rsidRPr="0002206A" w:rsidTr="0002206A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lastRenderedPageBreak/>
              <w:t>Объемы и источники финансирования программы по годам реализации, тыс.рублей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Всего:</w:t>
            </w:r>
          </w:p>
          <w:p w:rsidR="0002206A" w:rsidRPr="0002206A" w:rsidRDefault="0002206A" w:rsidP="000220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2 350 296,79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тыс. рублей</w:t>
            </w:r>
            <w:r w:rsidRPr="0002206A">
              <w:rPr>
                <w:lang w:eastAsia="en-US"/>
              </w:rPr>
              <w:br/>
              <w:t>в том числе: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2014 -153 623,49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2015 – 156 650,19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2016 – 175 035,40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2017 – 226 326,01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2018 – 288</w:t>
            </w:r>
            <w:r w:rsidRPr="0002206A">
              <w:rPr>
                <w:lang w:val="en-US" w:eastAsia="en-US"/>
              </w:rPr>
              <w:t> </w:t>
            </w:r>
            <w:r w:rsidRPr="0002206A">
              <w:rPr>
                <w:lang w:eastAsia="en-US"/>
              </w:rPr>
              <w:t>042,28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2019 – 214 729,69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2020 – 221 112,71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2021 –233 227,88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2022 – 225 112,38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2023 –227 116,88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2024 –229 319,88</w:t>
            </w:r>
          </w:p>
        </w:tc>
      </w:tr>
      <w:tr w:rsidR="0002206A" w:rsidRPr="0002206A" w:rsidTr="0002206A">
        <w:trPr>
          <w:trHeight w:val="4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6A" w:rsidRPr="0002206A" w:rsidRDefault="0002206A" w:rsidP="00022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Из них:</w:t>
            </w:r>
          </w:p>
        </w:tc>
      </w:tr>
      <w:tr w:rsidR="0002206A" w:rsidRPr="0002206A" w:rsidTr="0002206A">
        <w:trPr>
          <w:trHeight w:val="4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6A" w:rsidRPr="0002206A" w:rsidRDefault="0002206A" w:rsidP="00022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 xml:space="preserve">местный бюджет </w:t>
            </w:r>
          </w:p>
          <w:p w:rsidR="0002206A" w:rsidRPr="0002206A" w:rsidRDefault="0002206A" w:rsidP="00022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2 331 661,70 </w:t>
            </w:r>
            <w:r w:rsidRPr="0002206A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 xml:space="preserve">в том числе: 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2014 – 151 008,64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2015 – 154 910,89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2016 – 172 758,80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2017 – 218</w:t>
            </w:r>
            <w:r w:rsidRPr="0002206A">
              <w:rPr>
                <w:lang w:val="en-US" w:eastAsia="en-US"/>
              </w:rPr>
              <w:t> </w:t>
            </w:r>
            <w:r w:rsidRPr="0002206A">
              <w:rPr>
                <w:lang w:eastAsia="en-US"/>
              </w:rPr>
              <w:t>025,31</w:t>
            </w:r>
          </w:p>
          <w:p w:rsidR="0002206A" w:rsidRPr="0002206A" w:rsidRDefault="0002206A" w:rsidP="0002206A">
            <w:pPr>
              <w:pStyle w:val="ConsPlusCell"/>
              <w:rPr>
                <w:lang w:val="en-US" w:eastAsia="en-US"/>
              </w:rPr>
            </w:pPr>
            <w:r w:rsidRPr="0002206A">
              <w:rPr>
                <w:lang w:eastAsia="en-US"/>
              </w:rPr>
              <w:t xml:space="preserve">2018 – </w:t>
            </w:r>
            <w:r w:rsidRPr="0002206A">
              <w:rPr>
                <w:lang w:val="en-US" w:eastAsia="en-US"/>
              </w:rPr>
              <w:t>2</w:t>
            </w:r>
            <w:r w:rsidRPr="0002206A">
              <w:rPr>
                <w:lang w:eastAsia="en-US"/>
              </w:rPr>
              <w:t>84</w:t>
            </w:r>
            <w:r w:rsidRPr="0002206A">
              <w:rPr>
                <w:lang w:val="en-US" w:eastAsia="en-US"/>
              </w:rPr>
              <w:t> </w:t>
            </w:r>
            <w:r w:rsidRPr="0002206A">
              <w:rPr>
                <w:lang w:eastAsia="en-US"/>
              </w:rPr>
              <w:t>338,64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2019 – 214 729,69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2020 –</w:t>
            </w:r>
            <w:r w:rsidRPr="0002206A">
              <w:rPr>
                <w:color w:val="FF0000"/>
                <w:lang w:eastAsia="en-US"/>
              </w:rPr>
              <w:t xml:space="preserve"> </w:t>
            </w:r>
            <w:r w:rsidRPr="0002206A">
              <w:rPr>
                <w:lang w:eastAsia="en-US"/>
              </w:rPr>
              <w:t>221 112,71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2021 – 233 227,88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2022 – 225 112,38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2023 –227 116,88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2024 –229 319,88</w:t>
            </w:r>
          </w:p>
        </w:tc>
      </w:tr>
      <w:tr w:rsidR="0002206A" w:rsidRPr="0002206A" w:rsidTr="0002206A">
        <w:trPr>
          <w:trHeight w:val="4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6A" w:rsidRPr="0002206A" w:rsidRDefault="0002206A" w:rsidP="00022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Федеральный бюджет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114,60 тыс. рублей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в том числе: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2014 – 0,00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2015 –14,60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2016 –100,00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2017 –0,00</w:t>
            </w:r>
          </w:p>
          <w:p w:rsidR="0002206A" w:rsidRPr="0002206A" w:rsidRDefault="0002206A" w:rsidP="0002206A">
            <w:pPr>
              <w:pStyle w:val="ConsPlusCell"/>
              <w:rPr>
                <w:lang w:val="en-US" w:eastAsia="en-US"/>
              </w:rPr>
            </w:pPr>
            <w:r w:rsidRPr="0002206A">
              <w:rPr>
                <w:lang w:eastAsia="en-US"/>
              </w:rPr>
              <w:t>2018 – 0,00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2019 – 0,00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2020 –</w:t>
            </w:r>
            <w:r w:rsidRPr="0002206A">
              <w:rPr>
                <w:color w:val="FF0000"/>
                <w:lang w:eastAsia="en-US"/>
              </w:rPr>
              <w:t xml:space="preserve"> </w:t>
            </w:r>
            <w:r w:rsidRPr="0002206A">
              <w:rPr>
                <w:lang w:eastAsia="en-US"/>
              </w:rPr>
              <w:t>0,00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2021 –0,00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2022 – 0,00</w:t>
            </w:r>
          </w:p>
          <w:p w:rsidR="0002206A" w:rsidRPr="0002206A" w:rsidRDefault="0002206A" w:rsidP="0002206A">
            <w:pPr>
              <w:pStyle w:val="ConsPlusCell"/>
              <w:rPr>
                <w:lang w:val="en-US" w:eastAsia="en-US"/>
              </w:rPr>
            </w:pPr>
            <w:r w:rsidRPr="0002206A">
              <w:rPr>
                <w:lang w:eastAsia="en-US"/>
              </w:rPr>
              <w:t>2023 –0,00</w:t>
            </w:r>
          </w:p>
          <w:p w:rsidR="0002206A" w:rsidRPr="0002206A" w:rsidRDefault="0002206A" w:rsidP="0002206A">
            <w:pPr>
              <w:pStyle w:val="ConsPlusCell"/>
              <w:rPr>
                <w:highlight w:val="magenta"/>
                <w:lang w:eastAsia="en-US"/>
              </w:rPr>
            </w:pPr>
            <w:r w:rsidRPr="0002206A">
              <w:rPr>
                <w:lang w:eastAsia="en-US"/>
              </w:rPr>
              <w:t>2024 –0,00</w:t>
            </w:r>
          </w:p>
        </w:tc>
      </w:tr>
      <w:tr w:rsidR="0002206A" w:rsidRPr="0002206A" w:rsidTr="0002206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6A" w:rsidRPr="0002206A" w:rsidRDefault="0002206A" w:rsidP="00022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 xml:space="preserve">Областной бюджет 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18 520,49 тыс. рублей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lastRenderedPageBreak/>
              <w:t xml:space="preserve">в том числе: 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2014 – 2 614,85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2015 – 1 724,70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2016 – 2 176,60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2017 – 8 300,70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2018 – 3703,64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2019 – 0,00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2020 –</w:t>
            </w:r>
            <w:r w:rsidRPr="0002206A">
              <w:rPr>
                <w:color w:val="FF0000"/>
                <w:lang w:eastAsia="en-US"/>
              </w:rPr>
              <w:t xml:space="preserve"> </w:t>
            </w:r>
            <w:r w:rsidRPr="0002206A">
              <w:rPr>
                <w:lang w:eastAsia="en-US"/>
              </w:rPr>
              <w:t>0,00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2021 – 0,00</w:t>
            </w:r>
          </w:p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t>2022 – 0,00</w:t>
            </w:r>
          </w:p>
          <w:p w:rsidR="0002206A" w:rsidRPr="0002206A" w:rsidRDefault="0002206A" w:rsidP="0002206A">
            <w:pPr>
              <w:pStyle w:val="ConsPlusCell"/>
              <w:rPr>
                <w:lang w:val="en-US" w:eastAsia="en-US"/>
              </w:rPr>
            </w:pPr>
            <w:r w:rsidRPr="0002206A">
              <w:rPr>
                <w:lang w:eastAsia="en-US"/>
              </w:rPr>
              <w:t>2023 – 0,00</w:t>
            </w:r>
          </w:p>
          <w:p w:rsidR="0002206A" w:rsidRPr="0002206A" w:rsidRDefault="0002206A" w:rsidP="0002206A">
            <w:pPr>
              <w:pStyle w:val="ConsPlusCell"/>
              <w:rPr>
                <w:highlight w:val="magenta"/>
                <w:lang w:eastAsia="en-US"/>
              </w:rPr>
            </w:pPr>
            <w:r w:rsidRPr="0002206A">
              <w:rPr>
                <w:lang w:eastAsia="en-US"/>
              </w:rPr>
              <w:t>2024 – 0,00</w:t>
            </w:r>
          </w:p>
        </w:tc>
      </w:tr>
      <w:tr w:rsidR="0002206A" w:rsidRPr="0002206A" w:rsidTr="0002206A">
        <w:trPr>
          <w:trHeight w:val="10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eastAsia="en-US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6A" w:rsidRPr="0002206A" w:rsidRDefault="0002206A" w:rsidP="0002206A">
            <w:pPr>
              <w:pStyle w:val="ConsPlusCell"/>
              <w:rPr>
                <w:lang w:eastAsia="en-US"/>
              </w:rPr>
            </w:pPr>
            <w:r w:rsidRPr="0002206A">
              <w:rPr>
                <w:lang w:val="en-US" w:eastAsia="en-US"/>
              </w:rPr>
              <w:t>www</w:t>
            </w:r>
            <w:r w:rsidRPr="0002206A">
              <w:rPr>
                <w:lang w:eastAsia="en-US"/>
              </w:rPr>
              <w:t>.березовский.рф</w:t>
            </w:r>
          </w:p>
        </w:tc>
      </w:tr>
    </w:tbl>
    <w:p w:rsidR="0002206A" w:rsidRPr="0002206A" w:rsidRDefault="0002206A" w:rsidP="00022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06A" w:rsidRPr="0002206A" w:rsidRDefault="0002206A" w:rsidP="0002206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466" w:rsidRPr="0002206A" w:rsidRDefault="000F0466" w:rsidP="00022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0466" w:rsidRPr="0002206A" w:rsidSect="000220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96D" w:rsidRDefault="000D496D">
      <w:pPr>
        <w:spacing w:after="0" w:line="240" w:lineRule="auto"/>
      </w:pPr>
      <w:r>
        <w:separator/>
      </w:r>
    </w:p>
  </w:endnote>
  <w:endnote w:type="continuationSeparator" w:id="0">
    <w:p w:rsidR="000D496D" w:rsidRDefault="000D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D7" w:rsidRDefault="000D49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D7" w:rsidRDefault="000D496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D7" w:rsidRDefault="000D49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96D" w:rsidRDefault="000D496D">
      <w:pPr>
        <w:spacing w:after="0" w:line="240" w:lineRule="auto"/>
      </w:pPr>
      <w:r>
        <w:separator/>
      </w:r>
    </w:p>
  </w:footnote>
  <w:footnote w:type="continuationSeparator" w:id="0">
    <w:p w:rsidR="000D496D" w:rsidRDefault="000D4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D7" w:rsidRDefault="000D49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57820"/>
      <w:docPartObj>
        <w:docPartGallery w:val="Page Numbers (Top of Page)"/>
        <w:docPartUnique/>
      </w:docPartObj>
    </w:sdtPr>
    <w:sdtEndPr/>
    <w:sdtContent>
      <w:p w:rsidR="00A470DF" w:rsidRDefault="000F0466">
        <w:pPr>
          <w:pStyle w:val="a3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0E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0D49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D7" w:rsidRDefault="000D49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6A"/>
    <w:rsid w:val="0002206A"/>
    <w:rsid w:val="000D496D"/>
    <w:rsid w:val="000F0466"/>
    <w:rsid w:val="0010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CFD98-F563-4AAA-86FB-70B0B119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06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2206A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02206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2206A"/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0220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0220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220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User</cp:lastModifiedBy>
  <cp:revision>2</cp:revision>
  <dcterms:created xsi:type="dcterms:W3CDTF">2019-03-21T08:23:00Z</dcterms:created>
  <dcterms:modified xsi:type="dcterms:W3CDTF">2019-03-21T08:23:00Z</dcterms:modified>
</cp:coreProperties>
</file>