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8ED73" w14:textId="77777777" w:rsidR="00AB1D11" w:rsidRPr="00620F29" w:rsidRDefault="00AB1D11" w:rsidP="00A86E62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37A61BC" w14:textId="77777777" w:rsidR="00574DCD" w:rsidRDefault="00574DCD" w:rsidP="00A86E62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Стратегические приоритеты и цели муниципальной политики </w:t>
      </w:r>
    </w:p>
    <w:p w14:paraId="3009E363" w14:textId="16E7BE40" w:rsidR="005F2DC2" w:rsidRPr="00620F29" w:rsidRDefault="00574DCD" w:rsidP="00A86E62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 сфере образования</w:t>
      </w:r>
      <w:r w:rsidR="005F2DC2" w:rsidRPr="00620F29">
        <w:rPr>
          <w:rFonts w:ascii="Times New Roman" w:hAnsi="Times New Roman"/>
          <w:color w:val="000000" w:themeColor="text1"/>
          <w:sz w:val="28"/>
          <w:szCs w:val="28"/>
        </w:rPr>
        <w:t xml:space="preserve"> Березовского </w:t>
      </w:r>
      <w:r w:rsidR="005A3CEA" w:rsidRPr="00620F29">
        <w:rPr>
          <w:rFonts w:ascii="Times New Roman" w:hAnsi="Times New Roman"/>
          <w:iCs/>
          <w:color w:val="000000" w:themeColor="text1"/>
          <w:sz w:val="28"/>
          <w:szCs w:val="28"/>
        </w:rPr>
        <w:t>муниципального</w:t>
      </w:r>
      <w:r w:rsidR="005F2DC2" w:rsidRPr="00620F29">
        <w:rPr>
          <w:rFonts w:ascii="Times New Roman" w:hAnsi="Times New Roman"/>
          <w:color w:val="000000" w:themeColor="text1"/>
          <w:sz w:val="28"/>
          <w:szCs w:val="28"/>
        </w:rPr>
        <w:t xml:space="preserve"> округа</w:t>
      </w:r>
    </w:p>
    <w:p w14:paraId="06651520" w14:textId="77777777" w:rsidR="005F2DC2" w:rsidRPr="00620F29" w:rsidRDefault="005F2DC2" w:rsidP="00A86E62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1D082470" w14:textId="77777777" w:rsidR="00574DCD" w:rsidRDefault="00574DCD" w:rsidP="00574DCD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1. Оценка текущего состояния сферы образования </w:t>
      </w:r>
    </w:p>
    <w:p w14:paraId="1C91D5E4" w14:textId="1B7CC7C2" w:rsidR="00574DCD" w:rsidRPr="00574DCD" w:rsidRDefault="00574DCD" w:rsidP="00574DCD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Березовского муниципального округа</w:t>
      </w:r>
    </w:p>
    <w:p w14:paraId="21C74706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48871DB" w14:textId="7DB816A4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Система образования Березовского муниципального округа за период с 2019 по 2025 год претерпела значительные качественные изменения, что стало результатом последовательной реализации федеральных и региональных проектов, направленных на модернизацию содержания, технологий и инфраструктуры образования. Ежегодно на развитие системы образования направляется не менее 70 процентов расходов бюджета муниципального округа, что свидетельствует о безусловном приоритете данной сферы в социально-экономической политике муниципалитета.</w:t>
      </w:r>
    </w:p>
    <w:p w14:paraId="69EE0662" w14:textId="1A499A2D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В сфере дошкольного образования ключевым достижением стало обеспечение 100-процентной доступности дошкольного образования для детей в возрасте от 3 до 7 лет. На территории муниципального округа ликвидирована очередь в детские сады для данной возрастной категории. На 1 сентября 2025 года очередь на получение места в детском саду составила 850 человек, что на 250 человек меньше по сравнению с аналогичным периодом 2024 года, при этом очередь сформирована преимущественно детьми в возрасте от рождения до 1,5 лет. В детских садах поселков Монетного, Кедровка, Сарапулка, Лосиного, Старопышминска, Новоберезовского жилого района, а также в восьми детских садах Советского микрорайона начат прием детей с 1,5 до 2 лет. Количество воспитанников, посещающих детские сады, в 2025 году составило 4765 человек, что на 288 человек меньше по сравнению с 2024 годом, что обусловлено отсутствием очереди в возрастной группе от 2 до 7 лет. Вместе с тем сохраняются проблемы доступности дошкольного образования для детей с особыми образовательными потребностями, а также недостаток помещений для осуществления познавательной, исследовательской, игровой и двигательной активности детей, недостаточная оснащенность помещений для детей-инвалидов и детей с ограниченными возможностями здоровья. В системе дошкольного образования активно внедряются федеральные государственные образовательные стандарты и федеральная образовательная программа дошкольного образования, девять детских садов получили статус инновационных площадок федерального уровня. </w:t>
      </w:r>
    </w:p>
    <w:p w14:paraId="6C96E6C5" w14:textId="1241A15C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В сфере общего образования деятельность 17 общеобразовательных организаций направлена на повышение качества образования, развитие инновационного потенциала, внедрение современных технологий воспитания и обучения, создание условий для реализации права на образование граждан с ограниченными возможностями здоровья. С 1 сентября 2023 года во всех общеобразовательных организациях введены обновленные федеральные государственные образовательные стандарты, разработаны и утверждены образовательные программы всех уровней, приведена нормативная база, организовано повышение квалификации педагогических и управленческих кадров. Введены в эксплуатацию две новые школы: в 2022 году школа №55 имени Льва Брусницына на 1275 мест, в 2025 году школа №45 в районе Уют-Сити на 825 мест, что позволило разгрузить школы Советского микрорайона, снизить наполняемость классов и сократить долю обучающихся во вторую смену. Вместе с тем результаты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lastRenderedPageBreak/>
        <w:t>государственной итоговой аттестации свидетельствуют о наличии проблемных зон: доля неуспешных результатов основного государственного экзамена по математике возросла с 4,7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в 2024 году до 5,7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в 2025 году, по русскому языку 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с 1,31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до 2,26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соответственно. В 2025 году 9,2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выпускников 9-х классов не смогли достичь минимального порога на государственной итоговой аттестации и не получили аттестаты об основном общем образовании, что превышает аналогичные показатели по Свердловской области, где средний уровень неуспешных результатов по математике составляет 5,1 процента. В то же время результаты единого государственного экзамена демонстрируют позитивную динамику: количество участников, сдававших математику профильного уровня, возросло на 13,8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, физику </w:t>
      </w:r>
      <w:r w:rsidR="00825DDE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на 12,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6%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, количество медалистов увеличилось с 47 в 2024 году до 49 в 2025 году. Все 17 общеобразовательных организаций имеют лицензию на дополнительное образование детей и взрослых.</w:t>
      </w:r>
    </w:p>
    <w:p w14:paraId="0B41D9BC" w14:textId="3541DE88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дополнительного образования детей продолжает функционировать информационная система «Навигатор дополнительного образования Свердловской области», в которой размещается информация о реализуемых программах, обеспечивается использование социальных сертификатов для оплаты обучения. В 2025 году сформирован муниципальный социальный заказ на оказание муниципальной услуги по реализации дополнительных общеразвивающих программ, предусмотрено обеспечение детей в возрасте от 5 до 18 лет социальными сертификатами номиналом 18 900 рублей на общую сумму 21 830 000 рублей. Объем финансирования по сравнению с 2024 годом увеличен на 24 процента. Доля детей, воспользовавшихся сертификатом, составила 12 процентов детского населения. Количество детей в возрасте от 5 до 18 лет, охваченных дополнительным образованием, составляет 81,55</w:t>
      </w:r>
      <w:r w:rsidR="00CB1C15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, что соответствует среднему уровню по Свердловской области, однако уступает показателям муниципальных образований-лидеров, где данный показатель превышает 85 процентов.</w:t>
      </w:r>
    </w:p>
    <w:p w14:paraId="64B56539" w14:textId="7652B23D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выявления и поддержки талантливых детей создана муниципальная система, позволяющая вовлекать в конкурсное движение более 80 процентов воспитанников дошкольных организаций и обучающихся школ. Общее количество обучающихся, включенных в конкурсное движение, превысило 9 тысяч человек. Участниками Всероссийской олимпиады школьников в 2024/2025 учебном году стали 6226 обучающихся на школьном этапе, что составляет 75,3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от общего количества обучающихся 4-11 классов, 1293 обучающихся на муниципальном этапе. По итогам рейтинга муниципальных образований Свердловской области Березовский муниципальный округ входит в десятку лучших по участию во Всероссийской олимпиаде школьников, занимая 8 место среди 72 муниципальных образований. В 2025/2026 учебном году активность участников сохранилась на высоком уровне, количество победителей и призеров муниципального этапа составило 58 и 355 человек соответственно, 24 обучающихся набрали необходимое количество баллов для участия в региональном этапе.</w:t>
      </w:r>
    </w:p>
    <w:p w14:paraId="77BC6D87" w14:textId="11DF7A7A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В сфере кадрового обеспечения по состоянию на 31 декабря 2025 года в образовательных организациях работает 1275 педагогов, из них в школах </w:t>
      </w:r>
      <w:r w:rsidR="00825DDE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714, в дошкольных образовательных организациях </w:t>
      </w:r>
      <w:r w:rsidR="00825DDE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561. Доля педагогических работников общеобразовательных организаций, имеющих первую и высшую квалификационную категорию, составляет 82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от общего количества педагогов, что превышает средний показатель по Свердловской области, составляющий 78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. Удельный вес численности учителей в возрасте до 35 лет увеличился и составил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lastRenderedPageBreak/>
        <w:t>23,5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от общей численности педагогов, однако остается ниже целевого показателя, установленного региональной программой, который составляет 25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. В 2025 году заключено 7 договоров целевого обучения с Уральским федеральным университетом, Уральским государственным педагогическим университетом, Российским государственным профессионально-педагогическим университетом по востребованным направлениям: иностранные языки, история, биология, химия, математика, информатика, логопедия и психология. По программе «Земский учитель» в муниципальный округ прибыл один педагог математики. Вместе с тем сохраняется кадровый дефицит по отдельным предметам, в частности по учителям иностранных языков, математики, физики и информатики, что требует продолжения системной работы по привлечению и закреплению педагогических кадров.</w:t>
      </w:r>
    </w:p>
    <w:p w14:paraId="57440769" w14:textId="4BD4E80D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создания доступной среды для детей с ограниченными возможностями здоровья и детей-инвалидов доля доступности образовательных организаций для маломобильных групп населения составляет 87,7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. Во всех образовательных организациях сайты адаптированы для слабовидящих людей, размещены вывески со шрифтом Брайля и знаки доступности, кнопки вызова. В 29 образовательных организациях входные группы оборудованы пандусами, в 27 организациях оборудованы санузлы для детей с ограниченными возможностями здоровья, в 13 организациях имеются сенсорные комнаты, в 27 организациях имеются кресла-коляски. В 2024 году в рамках проекта «Доступная среда» проведена установка тактильных мнемосхем и мобильной индукционной панели для слабослышащих. На 2026 год подана заявка на участие в конкурсном отборе по благоустройству территории и приобретению специализированного оборудования для школы №9.</w:t>
      </w:r>
    </w:p>
    <w:p w14:paraId="28362182" w14:textId="41D7190F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организации питания обучающихся бесплатным горячим питанием охвачено 100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обучающихся начальных классов и 100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детей льготных категорий, общий охват горячим питанием составляет 95,5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, что соответствует целевому показателю по Свердловской области. В 2025 году в 11 общеобразовательных организациях проведена модернизация пищеблоков на сумму 4417 тысяч рублей на условиях софинансирования, приобретено 53 единицы оборудования.</w:t>
      </w:r>
    </w:p>
    <w:p w14:paraId="65A5FD42" w14:textId="1D8476C3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патриотического воспитания и воспитательной работы в образовательных организациях созданы первичные отделения общероссийского движения детей и молодежи «Движение Первых», в штатное расписание введены советники директоров по воспитанию, реализуются программы «Разговоры о важном» и «Орлята России», еженедельно поднимается флаг Российской Федерации и исполняется гимн. Действуют 3 военно-патриотических клуба и 9 отрядов Юнармии, в 2025 году для отрядов Юнармии приобретены атрибуты формы. Число участников мероприятий, направленных на укрепление общероссийского гражданского единства, в 2025 году составило 12562 человека.</w:t>
      </w:r>
    </w:p>
    <w:p w14:paraId="72A1BA30" w14:textId="51D2D360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В сфере психолого-педагогического сопровождения в марте 2025 года создано муниципальное автономное учреждение «Центр психолого-педагогической, медицинской и социальной помощи «Вектор», в котором функционируют территориальная психолого-медико-педагогическая комиссия и территориальная служба ранней помощи. В системе образования работают 67 педагогов-психологов, 88 учителей-логопедов, 19 социальных педагогов, 47 учителей-дефектологов, 19 тьюторов. Функционируют муниципальные ресурсные центры на базе детского сада №5 и школы №1, центр «Родительское просвещение» на базе гимназии №5 и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lastRenderedPageBreak/>
        <w:t>детского сада №23. Школьные службы примирения организованы в 13 общеобразовательных организациях.</w:t>
      </w:r>
    </w:p>
    <w:p w14:paraId="1B707A89" w14:textId="2003EEA8" w:rsidR="00574DCD" w:rsidRPr="00574DCD" w:rsidRDefault="00574DCD" w:rsidP="001549A9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отдыха и оздоровления детей к летней кампании 2025 года лагерь «Зарница» получил санитарно-эпидемиологическое заключение на соответствие трех отремонтированных жилых корпусов, что позволило увеличить количество детей на 96 человек в смену и принять в летний период 2184 ребенка, что на 576 детей больше по сравнению с 2024 годом. Спортивная школа «Олимп» с 1 января 2024 года подведомственна управлению физической культуры и спорта, численность обучающихся составляет более 2000 человек, спортсмены входят в состав сборной Российской Федерации и Свердловской области.</w:t>
      </w:r>
    </w:p>
    <w:p w14:paraId="7D9AC1E0" w14:textId="77777777" w:rsidR="001549A9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Прогноз развития сферы образования Березовского муниципального округа до 2030 года предполагает сохранение положительных тенденций при одновременном решении системных проблем. Ожидается дальнейший рост численности детского населения в связи с активной жилой застройкой, особенно в Советском микрорайоне и районе Уют-Сити, что потребует дополнительных мощностей образовательных организаций. Прогнозируется увеличение доли детей в возрасте от 5 до 18 лет, охваченных дополнительным образованием, до 82,95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к 2030 году. Ожидается повышение доли педагогических работников, имеющих первую и высшую квалификационную категорию, до 85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, а удельного веса учителей в возрасте до 35 лет до 27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. Планируется завершение </w:t>
      </w:r>
      <w:r w:rsidR="001549A9">
        <w:rPr>
          <w:rFonts w:ascii="Times New Roman" w:hAnsi="Times New Roman"/>
          <w:color w:val="000000" w:themeColor="text1"/>
          <w:sz w:val="28"/>
          <w:szCs w:val="28"/>
        </w:rPr>
        <w:t>капитального ремонта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школы №2 на 1000 мест, продолжение модернизации материально-технической базы, развитие системы психолого-педагогического сопровождения, расширение вариативности дополнительного образования, в том числе с использованием социальных сертификатов. Сохранится необходимость повышения качества образования, снижения доли неуспешных результатов государственной итоговой аттестации, привлечения и закрепления педагогических кадров, особенно по дефицитным специальностям. Воспитательная работа будет усилена через развитие патриотических проектов, волонтерского движения и психолого-педагогической поддержки обучающихся. </w:t>
      </w:r>
    </w:p>
    <w:p w14:paraId="45199BDB" w14:textId="45703B2B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Учитывая завершение ряда федеральных и региональных проектов, система образования перейдет к реализации новых национальных проектов «Семья», «Молодежь и дети», «Кадры», что требует корректировки муниципальных механизмов управления и финансирования. Социальными рисками реализации программы являются возможное снижение темпов рождаемости, изменение федерального законодательства в сфере образования, недостаточность бюджетного финансирования для полной модернизации инфраструктуры, а также сохранение кадрового дефицита по отдельным педагогическим специальностям на фоне общего старения педагогических кадров в регионе.</w:t>
      </w:r>
    </w:p>
    <w:p w14:paraId="027D0258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0CF9F05" w14:textId="38C5319C" w:rsidR="00574DCD" w:rsidRPr="00574DCD" w:rsidRDefault="00574DCD" w:rsidP="00754CBE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2. Описание приоритетов и целей муниципальной политики в сфере реализации муниципальной программы</w:t>
      </w:r>
    </w:p>
    <w:p w14:paraId="08144D60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42E76B62" w14:textId="16500099" w:rsidR="00574DCD" w:rsidRPr="00574DCD" w:rsidRDefault="00574DCD" w:rsidP="004145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Приоритеты муниципальной политики в сфере образования Березовского муниципального округа на период до 2030 года определены с учетом национальных целей развития Российской Федерации, установленных Указом Президента Российской Федерации от 7 мая 2024 года № 309 «О национальных целях развития Российской Федерации на период до 2030 года</w:t>
      </w:r>
      <w:r w:rsidR="003B3CE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B3CE2" w:rsidRPr="003B3CE2">
        <w:rPr>
          <w:rFonts w:ascii="Times New Roman" w:hAnsi="Times New Roman"/>
          <w:color w:val="FF0000"/>
          <w:sz w:val="28"/>
          <w:szCs w:val="28"/>
        </w:rPr>
        <w:t>и на перспективу до 2036 года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», приоритетов социально-экономического развития Свердловской области, зафиксированных в Стратегии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lastRenderedPageBreak/>
        <w:t>социально-экономического развития Свердловской области, государствен</w:t>
      </w:r>
      <w:r w:rsidR="00D61BE1">
        <w:rPr>
          <w:rFonts w:ascii="Times New Roman" w:hAnsi="Times New Roman"/>
          <w:color w:val="000000" w:themeColor="text1"/>
          <w:sz w:val="28"/>
          <w:szCs w:val="28"/>
        </w:rPr>
        <w:t>ной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программ</w:t>
      </w:r>
      <w:r w:rsidR="00D61BE1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Свердловской област</w:t>
      </w:r>
      <w:r w:rsidR="00D61BE1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 w:rsidR="00D61BE1" w:rsidRPr="00D61BE1">
        <w:rPr>
          <w:rFonts w:ascii="Times New Roman" w:hAnsi="Times New Roman"/>
          <w:color w:val="FF0000"/>
          <w:sz w:val="28"/>
          <w:szCs w:val="28"/>
        </w:rPr>
        <w:t>«Развитие системы образования</w:t>
      </w:r>
      <w:r w:rsidRPr="00D61BE1">
        <w:rPr>
          <w:rFonts w:ascii="Times New Roman" w:hAnsi="Times New Roman"/>
          <w:color w:val="FF0000"/>
          <w:sz w:val="28"/>
          <w:szCs w:val="28"/>
        </w:rPr>
        <w:t>»,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а также стратегических документов Березовского муниципального округа.</w:t>
      </w:r>
    </w:p>
    <w:p w14:paraId="3F941AD4" w14:textId="511161F2" w:rsidR="00574DCD" w:rsidRPr="00574DCD" w:rsidRDefault="00574DCD" w:rsidP="004145F2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Муниципальная политика в сфере образования строится на признании образования ключевым фактором социального и экономического развития территории, обеспечении равных стартовых возможностей для каждого ребенка независимо от места жительства, состояния здоровья и социального статуса семьи, создании условий для непрерывного профессионального развития педагогических работников как основного ресурса качества образования, формировании системы выявления и поддержки талантов, направленной на самоопределение и профессиональную ориентацию обучающихся, укреплении воспитательного потенциала образовательных организаций, формировании у обучающихся общероссийской гражданской идентичности и патриотизма.</w:t>
      </w:r>
    </w:p>
    <w:p w14:paraId="2FD611E8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рамках указанных приоритетов сформулированы три цели муниципальной программы, соответствующие критериям специфичности, конкретности, измеримости, достижимости, актуальности, релевантности и ограниченности по времени.</w:t>
      </w:r>
    </w:p>
    <w:p w14:paraId="5198424B" w14:textId="78AD7FF1" w:rsidR="00574DCD" w:rsidRPr="00574DCD" w:rsidRDefault="004145F2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Первой целью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выравнивание стартовых возможностей детей дошкольного возраста за счет обеспечения и сохранения 100</w:t>
      </w:r>
      <w:r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доступности качественного дошкольного образования, в том числе присмотра и ухода за детьми. Достижение указанной цели предполагает сохранение 100</w:t>
      </w:r>
      <w:r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доступности дошкольного образования для детей в возрасте от 1,5 до 3 лет и от 3 до 7 лет в течение всего периода реализации программы, что позволит обеспечить каждому ребенку возможность получения качественного дошкольного образования независимо от места проживания. Данная цель соответствует национальной цели «Сохранение населения, укрепление здоровья и повышение благополучия людей, поддержка семьи», а также приоритету государственной программы Свердловской области «</w:t>
      </w:r>
      <w:r w:rsidR="00574DCD" w:rsidRPr="008F002C">
        <w:rPr>
          <w:rFonts w:ascii="Times New Roman" w:hAnsi="Times New Roman"/>
          <w:color w:val="FF0000"/>
          <w:sz w:val="28"/>
          <w:szCs w:val="28"/>
        </w:rPr>
        <w:t>Развитие системы образования в Свердловской области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>» по обеспечению доступности дошкольного образования и созданию условий для раннего развития детей.</w:t>
      </w:r>
    </w:p>
    <w:p w14:paraId="3C8BF5A8" w14:textId="4ABBC0A4" w:rsidR="00574DCD" w:rsidRPr="00574DCD" w:rsidRDefault="004145F2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Второй целью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обеспечение в образовательных организациях доли обучающихся, освоивших образовательные программы основного общего и среднего общего образования, на уровне 98</w:t>
      </w:r>
      <w:r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>. Достижение указанной цели означает, что не менее 98</w:t>
      </w:r>
      <w:r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выпускников 9-х и 11-х классов ежегодно будут успешно осваивать образовательные программы и получать аттестаты об основном общем и среднем общем образовании. Данный показатель является ключевым индикатором качества общего образования и непосредственно связан с национальной целью «Реализация потенциала каждого человека, развитие его талантов, воспитание патриотичной и социально ответственной личности», а также с показателями государственной программы Российской Федерации «Развитие образования», предусматривающей обеспечение глобальной конкурентоспособности российского образования и вхождение Российской Федерации в число десяти ведущих стран мира по качеству общего образования. Для достижения цели требуется создание условий для реализации основных и дополнительных общеобразовательных программ, включая модернизацию материально-технической базы, обеспечение высокого уровня профессиональной подготовки педагогических работников, организацию качественного горячего 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lastRenderedPageBreak/>
        <w:t>питания, совершенствование форм организации отдыха и оздоровления детей, развитие инклюзивного образования. В рамках данной цели также обеспечивается сохранение 100</w:t>
      </w:r>
      <w:r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охвата бесплатным горячим питанием обучающихся начальных классов и детей льготных категорий.</w:t>
      </w:r>
    </w:p>
    <w:p w14:paraId="46561FCB" w14:textId="415DED5D" w:rsidR="00574DCD" w:rsidRPr="00574DCD" w:rsidRDefault="004145F2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Третьей целью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является 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обучающихся. Достижение указанной цели предполагает ежегодное увеличение доли детей в возрасте от 5 до 18 лет, охваченных дополнительным образованием, с 81,55 </w:t>
      </w:r>
      <w:r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в 2026 году до 82,95</w:t>
      </w:r>
      <w:r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к 2030 году. Данная цель декомпозирует национальную цель «Реализация потенциала каждого человека, развитие его талантов, воспитание патриотичной и социально ответственной личности» и соотносится с приоритетами государственной программы Российской Федерации «Развитие образования», а также с задачами федерального проекта «Все лучшее детям» в составе национального проекта «Молодежь и дети». Для достижения цели предусмотрено создание единого образовательного и воспитательного пространства, направленного на выявление, поддержку и развитие способностей и талантов, самоопределение и профессиональную ориентацию детей и молодежи, в том числе через реализацию единой модели профориентации в общеобразовательных организациях, обеспечение охвата обучающихся 6-11 классов комплексом профориентационных мероприятий с увеличением их доли с 46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>в 2026 году до 58</w:t>
      </w:r>
      <w:r>
        <w:rPr>
          <w:rFonts w:ascii="Times New Roman" w:hAnsi="Times New Roman"/>
          <w:color w:val="000000" w:themeColor="text1"/>
          <w:sz w:val="28"/>
          <w:szCs w:val="28"/>
        </w:rPr>
        <w:t>%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к 2030 году, а также оснащение образовательных организаций средствами обучения и воспитания для развития современных компетенций и навыков у обучающихся.</w:t>
      </w:r>
    </w:p>
    <w:p w14:paraId="581BB753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Сформулированные цели в совокупности покрывают основные направления муниципальной политики в сфере образования: обеспечение доступности качественного образования на всех уровнях, повышение образовательных результатов, развитие талантов и профессиональной ориентации. Они взаимоувязаны и дополняют друг друга: доступное дошкольное образование создает основу для успешного обучения в школе, качественное общее образование обеспечивает базу для профессионального самоопределения, а система выявления и поддержки талантов позволяет каждому ребенку реализовать свой потенциал. Каждая цель имеет установленные количественные показатели, отражающие конечный социально-экономический эффект на дату окончания реализации программы в 2030 году, что обеспечивает возможность оценки прогресса в достижении целей и принятия управленческих решений по корректировке программы в случае отклонения от запланированных значений.</w:t>
      </w:r>
    </w:p>
    <w:p w14:paraId="3A54C657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6149D39E" w14:textId="0CF4750F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3. Сведения о взаимосвязи со стратегическими приоритетами, целями и показателями государственных программ Свердловской области</w:t>
      </w:r>
    </w:p>
    <w:p w14:paraId="68483055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4732836" w14:textId="28EA4C18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«</w:t>
      </w:r>
      <w:r w:rsidRPr="00141BBC">
        <w:rPr>
          <w:rFonts w:ascii="Times New Roman" w:hAnsi="Times New Roman"/>
          <w:color w:val="FF0000"/>
          <w:sz w:val="28"/>
          <w:szCs w:val="28"/>
        </w:rPr>
        <w:t xml:space="preserve">Развитие системы образования </w:t>
      </w:r>
      <w:r w:rsidR="00141BBC" w:rsidRPr="00141BBC">
        <w:rPr>
          <w:rFonts w:ascii="Times New Roman" w:hAnsi="Times New Roman"/>
          <w:color w:val="FF0000"/>
          <w:sz w:val="28"/>
          <w:szCs w:val="28"/>
        </w:rPr>
        <w:t xml:space="preserve">в </w:t>
      </w:r>
      <w:r w:rsidRPr="00141BBC">
        <w:rPr>
          <w:rFonts w:ascii="Times New Roman" w:hAnsi="Times New Roman"/>
          <w:color w:val="FF0000"/>
          <w:sz w:val="28"/>
          <w:szCs w:val="28"/>
        </w:rPr>
        <w:t>Березовско</w:t>
      </w:r>
      <w:r w:rsidR="00141BBC" w:rsidRPr="00141BBC">
        <w:rPr>
          <w:rFonts w:ascii="Times New Roman" w:hAnsi="Times New Roman"/>
          <w:color w:val="FF0000"/>
          <w:sz w:val="28"/>
          <w:szCs w:val="28"/>
        </w:rPr>
        <w:t>м</w:t>
      </w:r>
      <w:r w:rsidRPr="00141BBC">
        <w:rPr>
          <w:rFonts w:ascii="Times New Roman" w:hAnsi="Times New Roman"/>
          <w:color w:val="FF0000"/>
          <w:sz w:val="28"/>
          <w:szCs w:val="28"/>
        </w:rPr>
        <w:t xml:space="preserve"> муниципально</w:t>
      </w:r>
      <w:r w:rsidR="00141BBC" w:rsidRPr="00141BBC">
        <w:rPr>
          <w:rFonts w:ascii="Times New Roman" w:hAnsi="Times New Roman"/>
          <w:color w:val="FF0000"/>
          <w:sz w:val="28"/>
          <w:szCs w:val="28"/>
        </w:rPr>
        <w:t>м</w:t>
      </w:r>
      <w:r w:rsidRPr="00141BBC">
        <w:rPr>
          <w:rFonts w:ascii="Times New Roman" w:hAnsi="Times New Roman"/>
          <w:color w:val="FF0000"/>
          <w:sz w:val="28"/>
          <w:szCs w:val="28"/>
        </w:rPr>
        <w:t xml:space="preserve"> округ</w:t>
      </w:r>
      <w:r w:rsidR="00141BBC" w:rsidRPr="00141BBC">
        <w:rPr>
          <w:rFonts w:ascii="Times New Roman" w:hAnsi="Times New Roman"/>
          <w:color w:val="FF0000"/>
          <w:sz w:val="28"/>
          <w:szCs w:val="28"/>
        </w:rPr>
        <w:t>е</w:t>
      </w:r>
      <w:r w:rsidRPr="00141BBC">
        <w:rPr>
          <w:rFonts w:ascii="Times New Roman" w:hAnsi="Times New Roman"/>
          <w:color w:val="FF0000"/>
          <w:sz w:val="28"/>
          <w:szCs w:val="28"/>
        </w:rPr>
        <w:t xml:space="preserve">»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сформирована в логике обеспечения преемственности </w:t>
      </w:r>
      <w:r w:rsidR="00141BB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с документами стратегического планирования федерального и регионального уровней, что гарантирует единство образовательного пространства и достижение общегосударственных приоритетов развития.</w:t>
      </w:r>
    </w:p>
    <w:p w14:paraId="18559079" w14:textId="16F2A76A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На федеральном уровне муниципальная программа соотносится </w:t>
      </w:r>
      <w:r w:rsidR="00141BB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с национальными целями развития Российской Федерации, определенными Указом Президента Российской Федерации от 7 мая 2024 года № 309 «О национальных целях развития Российской Федерации на период до 2030 года</w:t>
      </w:r>
      <w:r w:rsidR="00141BBC">
        <w:rPr>
          <w:rFonts w:ascii="Times New Roman" w:hAnsi="Times New Roman"/>
          <w:color w:val="000000" w:themeColor="text1"/>
          <w:sz w:val="28"/>
          <w:szCs w:val="28"/>
        </w:rPr>
        <w:t xml:space="preserve"> и на перспективу до 2036 года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». В рамках национальной цели «Сохранение населения, укрепление здоровья и повышение благополучия людей, поддержка семьи» первая цель муниципальной программы по выравниванию стартовых возможностей детей дошкольного возраста направлена на создание условий для поддержки семей с детьми, повышение доступности образовательных услуг, что способствует улучшению демографической ситуации и повышению качества жизни населения. В рамках национальной цели «Реализация потенциала каждого человека, развитие его талантов, воспитание патриотичной и социально ответственной личности» вторая и третья цели муниципальной программы по обеспечению высокого уровня освоения образовательных программ и формированию системы выявления и поддержки талантов обеспечивают создание условий для самореализации каждого обучающегося, развитие его способностей, профессиональную ориентацию и воспитание гражданской ответственности. Кроме того, муниципальная программа соотносится с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года № 1642, государственной программой Российской Федерации «Доступная среда» и государственной программой Российской Федерации «Реализация государственной национальной политики».</w:t>
      </w:r>
    </w:p>
    <w:p w14:paraId="3FC8E0DC" w14:textId="41DCD5A3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На региональном уровне муниципальная программа разработана </w:t>
      </w:r>
      <w:r w:rsidR="0071092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Законом Свердловской области от 15 июля 2013 года № 78-ОЗ </w:t>
      </w:r>
      <w:r w:rsidR="0071092B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«Об образовании в Свердловской области», определяющим правовые, организационные и финансово-экономические основы функционирования системы образования в Свердловской области, а также полномочия органов местного самоуправления муниципальных образований в сфере образования. Муниципальная программа </w:t>
      </w:r>
      <w:r w:rsidRPr="0071092B">
        <w:rPr>
          <w:rFonts w:ascii="Times New Roman" w:hAnsi="Times New Roman"/>
          <w:color w:val="000000" w:themeColor="text1"/>
          <w:sz w:val="28"/>
          <w:szCs w:val="28"/>
          <w:highlight w:val="green"/>
        </w:rPr>
        <w:t>полностью соответствует государственной программе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Свердловской области «</w:t>
      </w:r>
      <w:r w:rsidRPr="0071092B">
        <w:rPr>
          <w:rFonts w:ascii="Times New Roman" w:hAnsi="Times New Roman"/>
          <w:color w:val="FF0000"/>
          <w:sz w:val="28"/>
          <w:szCs w:val="28"/>
        </w:rPr>
        <w:t>Развитие системы образования в Свердловской области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», утвержденной постановлением Правительства Свердловской области от 19 декабря 2019 года </w:t>
      </w:r>
      <w:r w:rsidR="00AC274C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№ 920-ПП, которая определяет стратегические приоритеты развития образования в регионе, включая обеспечение доступности дошкольного образования, повышение качества общего образования, развитие системы выявления и поддержки талантов, кадровое обеспечение системы образования, патриотическое воспитание граждан. В рамках данной государственной программы показатели муниципальной программы, такие как доступность дошкольного образования для детей в возрасте от 1,5 до 3 лет и от 3 до 7 лет, доля обучающихся, освоивших образовательные программы основного общего и среднего общего образования, доля детей в возрасте от 5 до 18 лет, охваченных дополнительным образованием, соответствуют аналогичным региональным показателям, что обеспечивает единство системы мониторинга и оценки эффективности на муниципальном и региональном уровнях.</w:t>
      </w:r>
    </w:p>
    <w:p w14:paraId="203A7DC6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Кроме того, муниципальная программа соотносится со Стратегией социально-экономического развития Березовского городского округа, утвержденной решением Думы Березовского городского округа от 27 декабря 2018 года № 182, в части развития человеческого капитала, повышения качества образования, создания условий для самореализации молодежи, укрепления кадрового потенциала муниципального округа.</w:t>
      </w:r>
    </w:p>
    <w:p w14:paraId="071A1E0E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Особое значение имеет взаимосвязь муниципальной программы с региональными проектами, входящими в состав национальных проектов, реализуемых на территории Свердловской области. Муниципальная программа включает муниципальные проекты в составе региональных проектов «Все лучшее детям», «Педагоги и наставники», «Профессионалитет», «Безопасность дорожного движения», что обеспечивает достижение целей, показателей и результатов соответствующих федеральных проектов на муниципальном уровне. В рамках регионального проекта «Все лучшее детям» муниципальная программа обеспечивает достижение показателя по доле детей в возрасте от 5 до 18 лет, охваченных дополнительным образованием. В рамках регионального проекта «Педагоги и наставники» муниципальная программа обеспечивает заключение договоров целевого обучения, выплаты денежного вознаграждения за классное руководство и советникам директоров по воспитанию. В рамках регионального проекта «Профессионалитет» муниципальная программа обеспечивает реализацию единой модели профориентации и преобразование учебных кабинетов как неотъемлемой части учебного пространства.</w:t>
      </w:r>
    </w:p>
    <w:p w14:paraId="5F2D1316" w14:textId="77B3F968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Таким образом, муниципальная программа </w:t>
      </w:r>
      <w:r w:rsidRPr="00AC274C">
        <w:rPr>
          <w:rFonts w:ascii="Times New Roman" w:hAnsi="Times New Roman"/>
          <w:color w:val="FF0000"/>
          <w:sz w:val="28"/>
          <w:szCs w:val="28"/>
        </w:rPr>
        <w:t xml:space="preserve">«Развитие системы образования </w:t>
      </w:r>
      <w:r w:rsidR="00AC274C" w:rsidRPr="00AC274C">
        <w:rPr>
          <w:rFonts w:ascii="Times New Roman" w:hAnsi="Times New Roman"/>
          <w:color w:val="FF0000"/>
          <w:sz w:val="28"/>
          <w:szCs w:val="28"/>
        </w:rPr>
        <w:t xml:space="preserve">в </w:t>
      </w:r>
      <w:r w:rsidRPr="00AC274C">
        <w:rPr>
          <w:rFonts w:ascii="Times New Roman" w:hAnsi="Times New Roman"/>
          <w:color w:val="FF0000"/>
          <w:sz w:val="28"/>
          <w:szCs w:val="28"/>
        </w:rPr>
        <w:t>Березовско</w:t>
      </w:r>
      <w:r w:rsidR="00AC274C" w:rsidRPr="00AC274C">
        <w:rPr>
          <w:rFonts w:ascii="Times New Roman" w:hAnsi="Times New Roman"/>
          <w:color w:val="FF0000"/>
          <w:sz w:val="28"/>
          <w:szCs w:val="28"/>
        </w:rPr>
        <w:t>м</w:t>
      </w:r>
      <w:r w:rsidRPr="00AC274C">
        <w:rPr>
          <w:rFonts w:ascii="Times New Roman" w:hAnsi="Times New Roman"/>
          <w:color w:val="FF0000"/>
          <w:sz w:val="28"/>
          <w:szCs w:val="28"/>
        </w:rPr>
        <w:t xml:space="preserve"> муниципально</w:t>
      </w:r>
      <w:r w:rsidR="00AC274C" w:rsidRPr="00AC274C">
        <w:rPr>
          <w:rFonts w:ascii="Times New Roman" w:hAnsi="Times New Roman"/>
          <w:color w:val="FF0000"/>
          <w:sz w:val="28"/>
          <w:szCs w:val="28"/>
        </w:rPr>
        <w:t>м</w:t>
      </w:r>
      <w:r w:rsidRPr="00AC274C">
        <w:rPr>
          <w:rFonts w:ascii="Times New Roman" w:hAnsi="Times New Roman"/>
          <w:color w:val="FF0000"/>
          <w:sz w:val="28"/>
          <w:szCs w:val="28"/>
        </w:rPr>
        <w:t xml:space="preserve"> округ</w:t>
      </w:r>
      <w:r w:rsidR="00AC274C" w:rsidRPr="00AC274C">
        <w:rPr>
          <w:rFonts w:ascii="Times New Roman" w:hAnsi="Times New Roman"/>
          <w:color w:val="FF0000"/>
          <w:sz w:val="28"/>
          <w:szCs w:val="28"/>
        </w:rPr>
        <w:t>е</w:t>
      </w:r>
      <w:r w:rsidRPr="00AC274C">
        <w:rPr>
          <w:rFonts w:ascii="Times New Roman" w:hAnsi="Times New Roman"/>
          <w:color w:val="FF0000"/>
          <w:sz w:val="28"/>
          <w:szCs w:val="28"/>
        </w:rPr>
        <w:t xml:space="preserve">» 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представляет собой инструмент декомпозиции стратегических приоритетов федерального и регионального уровней на муниципальный уровень, обеспечивая достижение общественно значимых результатов, задач и целей социально-экономического развития в сфере образования на территории Березовского муниципального округа. Показатели муниципальной программы уточн</w:t>
      </w:r>
      <w:bookmarkStart w:id="0" w:name="_GoBack"/>
      <w:bookmarkEnd w:id="0"/>
      <w:r w:rsidRPr="00574DCD">
        <w:rPr>
          <w:rFonts w:ascii="Times New Roman" w:hAnsi="Times New Roman"/>
          <w:color w:val="000000" w:themeColor="text1"/>
          <w:sz w:val="28"/>
          <w:szCs w:val="28"/>
        </w:rPr>
        <w:t>ены в соответствии со сферой реализации муниципальной программы и учитывают специфику муниципального округа, включая демографические особенности, инфраструктурные ограничения и кадровые потребности.</w:t>
      </w:r>
    </w:p>
    <w:p w14:paraId="5F42228F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0734B38D" w14:textId="3F49CAC3" w:rsidR="00574DCD" w:rsidRPr="00574DCD" w:rsidRDefault="00754CBE" w:rsidP="00754CBE">
      <w:pPr>
        <w:ind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Задачи муниципального управления, способы их эффективного решения в </w:t>
      </w:r>
      <w:r>
        <w:rPr>
          <w:rFonts w:ascii="Times New Roman" w:hAnsi="Times New Roman"/>
          <w:color w:val="000000" w:themeColor="text1"/>
          <w:sz w:val="28"/>
          <w:szCs w:val="28"/>
        </w:rPr>
        <w:t>сфере образования</w:t>
      </w:r>
      <w:r w:rsidR="00574DCD"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и сфере муниципального управления</w:t>
      </w:r>
    </w:p>
    <w:p w14:paraId="0BD8D568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87FBE91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Для достижения поставленных целей и реализации стратегических приоритетов муниципальной политики в сфере образования муниципальная программа предусматривает решение следующих задач муниципального управления, сгруппированных по ключевым направлениям в соответствии со структурой программы, включающей муниципальные проекты в составе региональных проектов и комплексы процессных мероприятий.</w:t>
      </w:r>
    </w:p>
    <w:p w14:paraId="608C0D10" w14:textId="7E02F13C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обеспечения доступности дошкольного образования задачами являются сохранение 100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%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доступности дошкольного образования для детей в возрасте от 1,5 до 3 лет и от 3 до 7 лет, в том числе путем дальнейшего развития сети мест в дошкольных образовательных организациях, а также создание условий для присмотра и ухода за детьми в муниципальных образовательных организациях. Способы решения указанных задач включают формирование и выполнение муниципального задания на предоставление дошкольного образования,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укрепление и развитие материально-технической базы дошкольных организаций, создание условий для получения без дискриминации качественного образования детьми с ограниченными возможностями здоровья и детьми-инвалидами.</w:t>
      </w:r>
    </w:p>
    <w:p w14:paraId="1B92D995" w14:textId="32EB5EDA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обеспечения качества общего образования задачами являются обеспечение условий для реализации основных и дополнительных общеобразовательных программ, включая оснащение общеобразовательных организаций средствами обучения и воспитания, создание в образовательных организациях необходимых условий для получения без дискриминации качественного образования лицами с ограниченными возможностями здоровья, в том числе посредством организации инклюзивного образования, осуществление мероприятий по организации питания в муниципальных общеобразовательных организациях, совершенствование форм организации отдыха и оздоровления детей, сохранение и развитие инфраструктуры организаций отдыха детей и их оздоровления, повышение уровня профессиональной подготовки педагогических работников, осуществление мероприятий по комплектованию оборудованием медицинских пунктов в муниципальных образовательных организациях, формирование культуры безопасного поведения на дорогах обучающихся и воспитанников. Способы решения указанных задач включают предоставление субсидий и субвенций муниципальным образовательным организациям, организацию и проведение государственной итоговой аттестации, развитие системы психолого-педагогической, медицинской и социальной помощи детям, модернизацию материально-технической базы, приобретение автобусов для подвоза обучающихся, оборудование спортивных площадок, проведение работ по созданию архитектурной доступности и приобретение специализированного оборудования для детей с ограниченными возможностями здоровья, обеспечение 100</w:t>
      </w:r>
      <w:r w:rsidR="004145F2">
        <w:rPr>
          <w:rFonts w:ascii="Times New Roman" w:hAnsi="Times New Roman"/>
          <w:color w:val="000000" w:themeColor="text1"/>
          <w:sz w:val="28"/>
          <w:szCs w:val="28"/>
        </w:rPr>
        <w:t>% охвата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 xml:space="preserve"> бесплатным горячим питанием обучающихся начальных классов и детей льготных категорий.</w:t>
      </w:r>
    </w:p>
    <w:p w14:paraId="21E7724B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выявления и поддержки талантов и профессиональной ориентации задачами являются создание единого образовательного и воспитательного пространства, направленного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всеобщности, а также снижение кадрового дефицита учителей в общеобразовательных организациях. Способы решения указанных задач включают оснащение общеобразовательных организаций средствами обучения и воспитания для реализации учебных предметов, реализацию единой модели профориентации для обучающихся 6-11 классов, организацию профессиональных проб, экскурсий на предприятия, встреч с представителями профессий, заключение договоров целевого обучения с учреждениями высшего и среднего профессионального образования по подготовке педагогических работников, обеспечение выплат стипендий студентам, обучающимся по договорам целевого обучения, обеспечение деятельности советников директоров по воспитанию и взаимодействию с детскими общественными объединениями, выплату ежемесячного денежного вознаграждения за классное руководство и советникам директоров по воспитанию.</w:t>
      </w:r>
    </w:p>
    <w:p w14:paraId="0DE42B4B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патриотического воспитания и воспитательной работы задачами являются комплексное развитие и совершенствование системы патриотического воспитания граждан, направленное на создание условий для повышения гражданской ответственности, повышения уровня консолидации общества для устойчивого развития Российской Федерации и воспитания граждан, имеющих активную гражданскую позицию. Способы решения указанных задач включают организацию патриотического воспитания граждан, проведение муниципальных мероприятий и обеспечение участия представителей Березовского муниципального округа в областных и общероссийских мероприятиях, организацию военно-патриотического воспитания и допризывной подготовки для обучающихся 10-х классов общеобразовательных организаций, поддержку деятельности военно-патриотических клубов и отрядов Юнармии, развитие волонтерского движения, проведение мероприятий, направленных на укрепление общероссийского гражданского единства, предоставление субсидий из областного бюджета на организацию военно-патриотического воспитания и допризывной подготовки молодых граждан.</w:t>
      </w:r>
    </w:p>
    <w:p w14:paraId="738D24C9" w14:textId="77777777" w:rsidR="00574DCD" w:rsidRPr="00574DCD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В сфере исполнения муниципальных полномочий задачами являются обеспечение исполнения муниципальных полномочий в сфере образования, включая организацию и проведение муниципальных мероприятий, проектов и программ, создание материально-технических условий для обеспечения деятельности муниципальных образовательных организаций и органа местного самоуправления в сфере образования, обеспечение функционирования и развития государственной информационной системы Свердловской области «Единое цифровое пространство», формирование здорового жизненного стиля обучающихся, организацию профилактики незаконного потребления алкогольной продукции, наркотических средств и психотропных веществ, наркомании, токсикомании и алкогольной зависимости, формирование законопослушного и безопасного поведения обучающихся. Способы решения указанных задач включают утверждение планов мероприятий, обеспечение финансирования социально значимых проектов и программ, предоставление субсидий и субвенций, проведение профилактических мероприятий с привлечением субъектов системы профилактики, мониторинг состояния антинаркотической профилактики в образовательных организациях, обеспечение комплексной безопасности объектов системы образования.</w:t>
      </w:r>
    </w:p>
    <w:p w14:paraId="03C3B41F" w14:textId="6CC1296A" w:rsidR="005A3CEA" w:rsidRPr="00620F29" w:rsidRDefault="00574DCD" w:rsidP="00574DC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74DCD">
        <w:rPr>
          <w:rFonts w:ascii="Times New Roman" w:hAnsi="Times New Roman"/>
          <w:color w:val="000000" w:themeColor="text1"/>
          <w:sz w:val="28"/>
          <w:szCs w:val="28"/>
        </w:rPr>
        <w:t>Эффективное решение указанных задач муниципального управления достигается через комплексное применение программно-целевого метода, обеспечивающего взаимосвязь целей, задач, мероприятий и показателей, межведомственного взаимодействия с органами социальной политики, здравоохранения, культуры</w:t>
      </w:r>
      <w:r w:rsidR="00825DDE">
        <w:rPr>
          <w:rFonts w:ascii="Times New Roman" w:hAnsi="Times New Roman"/>
          <w:color w:val="000000" w:themeColor="text1"/>
          <w:sz w:val="28"/>
          <w:szCs w:val="28"/>
        </w:rPr>
        <w:t xml:space="preserve"> и молодежной политики</w:t>
      </w:r>
      <w:r w:rsidRPr="00574DCD">
        <w:rPr>
          <w:rFonts w:ascii="Times New Roman" w:hAnsi="Times New Roman"/>
          <w:color w:val="000000" w:themeColor="text1"/>
          <w:sz w:val="28"/>
          <w:szCs w:val="28"/>
        </w:rPr>
        <w:t>, физической культуры и спорта, внутренних дел и иных субъектов профилактики, финансового обеспечения за счет средств федерального, областного и муниципального бюджетов, включая субсидии и субвенции, а также внебюджетных источников, мониторинга достижения показателей с ежеквартальной и ежегодной отчетностью, что позволяет своевременно корректировать управленческие решения, и постоянной обратной связи с участниками образовательных отношений, включая обучающихся, родителей и педагогических работников, через систему общественного наблюдения, родительские комитеты, советы обучающихся и педагогические советы. Ключевым механизмом эффективного решения задач является реализация комплекса мероприятий региональных проектов, входящих в состав национальных проектов, что обеспечивает синхронизацию муниципальных действий с региональными и федеральными приоритетами, а также привлечение дополнительных финансовых ресурсов из вышестоящих бюджетов на условиях софинансирования.</w:t>
      </w:r>
    </w:p>
    <w:sectPr w:rsidR="005A3CEA" w:rsidRPr="00620F29" w:rsidSect="00825DDE">
      <w:headerReference w:type="default" r:id="rId8"/>
      <w:pgSz w:w="11906" w:h="16838"/>
      <w:pgMar w:top="272" w:right="624" w:bottom="567" w:left="1134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5C888" w14:textId="77777777" w:rsidR="00E234AA" w:rsidRDefault="00E234AA" w:rsidP="00CC56E2">
      <w:r>
        <w:separator/>
      </w:r>
    </w:p>
  </w:endnote>
  <w:endnote w:type="continuationSeparator" w:id="0">
    <w:p w14:paraId="69A2CA2B" w14:textId="77777777" w:rsidR="00E234AA" w:rsidRDefault="00E234AA" w:rsidP="00CC5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DAEFA" w14:textId="77777777" w:rsidR="00E234AA" w:rsidRDefault="00E234AA" w:rsidP="00CC56E2">
      <w:r>
        <w:separator/>
      </w:r>
    </w:p>
  </w:footnote>
  <w:footnote w:type="continuationSeparator" w:id="0">
    <w:p w14:paraId="31117AF5" w14:textId="77777777" w:rsidR="00E234AA" w:rsidRDefault="00E234AA" w:rsidP="00CC5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0963848"/>
      <w:docPartObj>
        <w:docPartGallery w:val="Page Numbers (Top of Page)"/>
        <w:docPartUnique/>
      </w:docPartObj>
    </w:sdtPr>
    <w:sdtEndPr/>
    <w:sdtContent>
      <w:p w14:paraId="3FE8B7B7" w14:textId="39778783" w:rsidR="00195C7F" w:rsidRDefault="00195C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09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DDCB40E" w14:textId="77777777" w:rsidR="00195C7F" w:rsidRDefault="00195C7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167C218"/>
    <w:multiLevelType w:val="singleLevel"/>
    <w:tmpl w:val="F167C21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B7F1AAC"/>
    <w:multiLevelType w:val="multilevel"/>
    <w:tmpl w:val="D5A015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86D99"/>
    <w:multiLevelType w:val="hybridMultilevel"/>
    <w:tmpl w:val="B55033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1B92"/>
    <w:rsid w:val="000013FB"/>
    <w:rsid w:val="00012766"/>
    <w:rsid w:val="00015097"/>
    <w:rsid w:val="000203A0"/>
    <w:rsid w:val="00032BE4"/>
    <w:rsid w:val="00051B92"/>
    <w:rsid w:val="0007138C"/>
    <w:rsid w:val="00091039"/>
    <w:rsid w:val="000A3DBC"/>
    <w:rsid w:val="000C7AC3"/>
    <w:rsid w:val="000D0F70"/>
    <w:rsid w:val="000F5EF1"/>
    <w:rsid w:val="001070CB"/>
    <w:rsid w:val="00141BBC"/>
    <w:rsid w:val="00150947"/>
    <w:rsid w:val="00150CEC"/>
    <w:rsid w:val="001549A9"/>
    <w:rsid w:val="00156A72"/>
    <w:rsid w:val="00156E58"/>
    <w:rsid w:val="00162CD4"/>
    <w:rsid w:val="00195C7F"/>
    <w:rsid w:val="001A2A2C"/>
    <w:rsid w:val="001B5B57"/>
    <w:rsid w:val="001C5024"/>
    <w:rsid w:val="001D3589"/>
    <w:rsid w:val="001E4FF3"/>
    <w:rsid w:val="001E5934"/>
    <w:rsid w:val="00200654"/>
    <w:rsid w:val="00206F99"/>
    <w:rsid w:val="0021032A"/>
    <w:rsid w:val="00232437"/>
    <w:rsid w:val="002338EC"/>
    <w:rsid w:val="0029437A"/>
    <w:rsid w:val="002A6C36"/>
    <w:rsid w:val="002F2CD8"/>
    <w:rsid w:val="002F438D"/>
    <w:rsid w:val="0030025B"/>
    <w:rsid w:val="00304117"/>
    <w:rsid w:val="003064E2"/>
    <w:rsid w:val="003110D3"/>
    <w:rsid w:val="00330AAC"/>
    <w:rsid w:val="00350280"/>
    <w:rsid w:val="00376C77"/>
    <w:rsid w:val="0037729E"/>
    <w:rsid w:val="00380899"/>
    <w:rsid w:val="00385214"/>
    <w:rsid w:val="00390C8F"/>
    <w:rsid w:val="003B3CE2"/>
    <w:rsid w:val="003C24CA"/>
    <w:rsid w:val="003E3EC6"/>
    <w:rsid w:val="003E7E5B"/>
    <w:rsid w:val="003F3FAF"/>
    <w:rsid w:val="004145F2"/>
    <w:rsid w:val="00424F3D"/>
    <w:rsid w:val="00432A79"/>
    <w:rsid w:val="0046299C"/>
    <w:rsid w:val="00470F16"/>
    <w:rsid w:val="004861E3"/>
    <w:rsid w:val="004A1308"/>
    <w:rsid w:val="004B772E"/>
    <w:rsid w:val="004D40FD"/>
    <w:rsid w:val="00506BD2"/>
    <w:rsid w:val="00515C74"/>
    <w:rsid w:val="00556E3D"/>
    <w:rsid w:val="00574DCD"/>
    <w:rsid w:val="005754E1"/>
    <w:rsid w:val="00580EF6"/>
    <w:rsid w:val="005A3528"/>
    <w:rsid w:val="005A3CEA"/>
    <w:rsid w:val="005A475D"/>
    <w:rsid w:val="005B4CCC"/>
    <w:rsid w:val="005B687C"/>
    <w:rsid w:val="005C6F14"/>
    <w:rsid w:val="005E2B3A"/>
    <w:rsid w:val="005F2DC2"/>
    <w:rsid w:val="0060132F"/>
    <w:rsid w:val="00620F29"/>
    <w:rsid w:val="00630BE5"/>
    <w:rsid w:val="00635176"/>
    <w:rsid w:val="00696964"/>
    <w:rsid w:val="006A33EA"/>
    <w:rsid w:val="006B0C69"/>
    <w:rsid w:val="006C381E"/>
    <w:rsid w:val="006D3530"/>
    <w:rsid w:val="006E150A"/>
    <w:rsid w:val="0070219E"/>
    <w:rsid w:val="0071092B"/>
    <w:rsid w:val="007153BB"/>
    <w:rsid w:val="00721D3A"/>
    <w:rsid w:val="00754CBE"/>
    <w:rsid w:val="00761BD5"/>
    <w:rsid w:val="00792136"/>
    <w:rsid w:val="007A1ABC"/>
    <w:rsid w:val="007B6412"/>
    <w:rsid w:val="007C1B92"/>
    <w:rsid w:val="007C3837"/>
    <w:rsid w:val="007F2505"/>
    <w:rsid w:val="00801D53"/>
    <w:rsid w:val="00810A4A"/>
    <w:rsid w:val="00825DDE"/>
    <w:rsid w:val="00825EFA"/>
    <w:rsid w:val="00853662"/>
    <w:rsid w:val="00856DB3"/>
    <w:rsid w:val="008619A5"/>
    <w:rsid w:val="008742E9"/>
    <w:rsid w:val="008908DD"/>
    <w:rsid w:val="008B2CE5"/>
    <w:rsid w:val="008B6655"/>
    <w:rsid w:val="008C735D"/>
    <w:rsid w:val="008D7B9D"/>
    <w:rsid w:val="008E5635"/>
    <w:rsid w:val="008E7C2B"/>
    <w:rsid w:val="008F002C"/>
    <w:rsid w:val="008F2DE5"/>
    <w:rsid w:val="00906EFF"/>
    <w:rsid w:val="009200E5"/>
    <w:rsid w:val="00980354"/>
    <w:rsid w:val="0098156F"/>
    <w:rsid w:val="00982B63"/>
    <w:rsid w:val="00983D48"/>
    <w:rsid w:val="009D021F"/>
    <w:rsid w:val="009F01AC"/>
    <w:rsid w:val="00A01D9B"/>
    <w:rsid w:val="00A073CC"/>
    <w:rsid w:val="00A1278C"/>
    <w:rsid w:val="00A14211"/>
    <w:rsid w:val="00A41751"/>
    <w:rsid w:val="00A46153"/>
    <w:rsid w:val="00A519A0"/>
    <w:rsid w:val="00A747A2"/>
    <w:rsid w:val="00A86E62"/>
    <w:rsid w:val="00A86FCD"/>
    <w:rsid w:val="00AA3BBD"/>
    <w:rsid w:val="00AB1D11"/>
    <w:rsid w:val="00AB7BE6"/>
    <w:rsid w:val="00AC274C"/>
    <w:rsid w:val="00B12B81"/>
    <w:rsid w:val="00B15F81"/>
    <w:rsid w:val="00B36B0C"/>
    <w:rsid w:val="00B6510F"/>
    <w:rsid w:val="00B73261"/>
    <w:rsid w:val="00B83193"/>
    <w:rsid w:val="00B8737B"/>
    <w:rsid w:val="00B932B2"/>
    <w:rsid w:val="00BA0BCB"/>
    <w:rsid w:val="00BB51D0"/>
    <w:rsid w:val="00BD06F4"/>
    <w:rsid w:val="00BD075A"/>
    <w:rsid w:val="00BD133D"/>
    <w:rsid w:val="00BD7C5B"/>
    <w:rsid w:val="00BE0856"/>
    <w:rsid w:val="00BE71D0"/>
    <w:rsid w:val="00C07BAA"/>
    <w:rsid w:val="00C11B4F"/>
    <w:rsid w:val="00C2046E"/>
    <w:rsid w:val="00C21331"/>
    <w:rsid w:val="00C24DA0"/>
    <w:rsid w:val="00C5234F"/>
    <w:rsid w:val="00C5441C"/>
    <w:rsid w:val="00C61F5F"/>
    <w:rsid w:val="00C90D05"/>
    <w:rsid w:val="00C93273"/>
    <w:rsid w:val="00C967D9"/>
    <w:rsid w:val="00C97D3F"/>
    <w:rsid w:val="00CA6F79"/>
    <w:rsid w:val="00CB1C15"/>
    <w:rsid w:val="00CB777E"/>
    <w:rsid w:val="00CC56E2"/>
    <w:rsid w:val="00CD6612"/>
    <w:rsid w:val="00CF4F26"/>
    <w:rsid w:val="00D0639B"/>
    <w:rsid w:val="00D306A3"/>
    <w:rsid w:val="00D56B18"/>
    <w:rsid w:val="00D61BE1"/>
    <w:rsid w:val="00D6209F"/>
    <w:rsid w:val="00D70CB2"/>
    <w:rsid w:val="00D96EBC"/>
    <w:rsid w:val="00DA453C"/>
    <w:rsid w:val="00DB49F4"/>
    <w:rsid w:val="00DC3C92"/>
    <w:rsid w:val="00DC5E61"/>
    <w:rsid w:val="00DD78ED"/>
    <w:rsid w:val="00E06F25"/>
    <w:rsid w:val="00E172F8"/>
    <w:rsid w:val="00E234AA"/>
    <w:rsid w:val="00E556C6"/>
    <w:rsid w:val="00E55994"/>
    <w:rsid w:val="00E56369"/>
    <w:rsid w:val="00E57276"/>
    <w:rsid w:val="00E66F9F"/>
    <w:rsid w:val="00E708C6"/>
    <w:rsid w:val="00E7365B"/>
    <w:rsid w:val="00E87139"/>
    <w:rsid w:val="00EA0482"/>
    <w:rsid w:val="00EA1ECE"/>
    <w:rsid w:val="00EE2A87"/>
    <w:rsid w:val="00F2190B"/>
    <w:rsid w:val="00F239FF"/>
    <w:rsid w:val="00F251F2"/>
    <w:rsid w:val="00F83FB8"/>
    <w:rsid w:val="00F96552"/>
    <w:rsid w:val="00FB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613856"/>
  <w15:docId w15:val="{7522169D-E122-42CB-9792-C124C9ED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6E2"/>
    <w:pPr>
      <w:spacing w:after="0" w:line="240" w:lineRule="auto"/>
      <w:ind w:firstLine="53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CC56E2"/>
    <w:pPr>
      <w:spacing w:before="20" w:after="20"/>
      <w:ind w:firstLine="0"/>
      <w:jc w:val="left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C56E2"/>
    <w:pPr>
      <w:ind w:left="720"/>
      <w:contextualSpacing/>
    </w:pPr>
  </w:style>
  <w:style w:type="paragraph" w:customStyle="1" w:styleId="ConsPlusNormal">
    <w:name w:val="ConsPlusNormal"/>
    <w:rsid w:val="00CC56E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CC5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C56E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uiPriority w:val="99"/>
    <w:rsid w:val="00CC56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сновной текст1"/>
    <w:basedOn w:val="a"/>
    <w:uiPriority w:val="99"/>
    <w:rsid w:val="00CC56E2"/>
    <w:pPr>
      <w:shd w:val="clear" w:color="auto" w:fill="FFFFFF"/>
      <w:spacing w:before="660" w:line="322" w:lineRule="exact"/>
      <w:ind w:hanging="2060"/>
      <w:jc w:val="left"/>
    </w:pPr>
    <w:rPr>
      <w:rFonts w:ascii="Times New Roman" w:eastAsia="Times New Roman" w:hAnsi="Times New Roman"/>
      <w:lang w:eastAsia="ru-RU"/>
    </w:rPr>
  </w:style>
  <w:style w:type="paragraph" w:customStyle="1" w:styleId="2">
    <w:name w:val="Основной текст2"/>
    <w:basedOn w:val="a"/>
    <w:uiPriority w:val="99"/>
    <w:rsid w:val="00CC56E2"/>
    <w:pPr>
      <w:shd w:val="clear" w:color="auto" w:fill="FFFFFF"/>
      <w:spacing w:before="660" w:line="322" w:lineRule="exact"/>
      <w:ind w:hanging="2060"/>
      <w:jc w:val="left"/>
    </w:pPr>
    <w:rPr>
      <w:rFonts w:ascii="Times New Roman" w:eastAsia="Times New Roman" w:hAnsi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CC56E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C56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56E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C56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56E2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60132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0132F"/>
    <w:rPr>
      <w:rFonts w:ascii="Segoe UI" w:eastAsia="Calibr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5028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50280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50280"/>
    <w:rPr>
      <w:rFonts w:ascii="Calibri" w:eastAsia="Calibri" w:hAnsi="Calibri" w:cs="Times New Roman"/>
      <w:sz w:val="20"/>
      <w:szCs w:val="20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83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9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924DB-CEA6-4BFE-AB69-2617C9785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10</Pages>
  <Words>4875</Words>
  <Characters>27789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Михеева М.О.</dc:creator>
  <cp:lastModifiedBy>Ирина Л. Мартемьянова</cp:lastModifiedBy>
  <cp:revision>84</cp:revision>
  <cp:lastPrinted>2022-12-13T04:58:00Z</cp:lastPrinted>
  <dcterms:created xsi:type="dcterms:W3CDTF">2024-02-15T09:15:00Z</dcterms:created>
  <dcterms:modified xsi:type="dcterms:W3CDTF">2026-09-09T06:37:00Z</dcterms:modified>
</cp:coreProperties>
</file>