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CB0" w:rsidRDefault="00C96768">
      <w:pPr>
        <w:widowControl w:val="0"/>
        <w:jc w:val="center"/>
        <w:rPr>
          <w:rFonts w:eastAsia="SimSun"/>
          <w:b/>
          <w:caps/>
          <w:spacing w:val="-1"/>
          <w:lang w:eastAsia="zh-CN"/>
        </w:rPr>
      </w:pPr>
      <w:bookmarkStart w:id="0" w:name="_Toc215687174"/>
      <w:bookmarkStart w:id="1" w:name="_Toc220588741"/>
      <w:r>
        <w:rPr>
          <w:rFonts w:eastAsia="SimSun"/>
          <w:b/>
          <w:spacing w:val="-1"/>
          <w:lang w:eastAsia="zh-CN"/>
        </w:rPr>
        <w:t>ФЕДЕРАЛЬНАЯ СЛУЖБА ПО ВЕТЕРИНАРНОМУ</w:t>
      </w:r>
    </w:p>
    <w:p w:rsidR="00032CB0" w:rsidRDefault="00C96768">
      <w:pPr>
        <w:widowControl w:val="0"/>
        <w:jc w:val="center"/>
        <w:rPr>
          <w:rFonts w:eastAsia="SimSun"/>
          <w:b/>
          <w:spacing w:val="-1"/>
          <w:lang w:eastAsia="zh-CN"/>
        </w:rPr>
      </w:pPr>
      <w:r>
        <w:rPr>
          <w:rFonts w:eastAsia="SimSun"/>
          <w:b/>
          <w:spacing w:val="-1"/>
          <w:lang w:eastAsia="zh-CN"/>
        </w:rPr>
        <w:t>И ФИТОСАНИТАРНОМУ НАДЗОРУ</w:t>
      </w:r>
    </w:p>
    <w:p w:rsidR="00032CB0" w:rsidRDefault="00C96768">
      <w:pPr>
        <w:widowControl w:val="0"/>
        <w:jc w:val="center"/>
        <w:rPr>
          <w:rFonts w:eastAsia="SimSun"/>
          <w:b/>
          <w:caps/>
          <w:spacing w:val="-1"/>
          <w:lang w:eastAsia="zh-CN"/>
        </w:rPr>
      </w:pPr>
      <w:r>
        <w:rPr>
          <w:rFonts w:eastAsia="SimSun"/>
          <w:b/>
          <w:caps/>
          <w:spacing w:val="-1"/>
          <w:lang w:eastAsia="zh-CN"/>
        </w:rPr>
        <w:t>(</w:t>
      </w:r>
      <w:r>
        <w:rPr>
          <w:rFonts w:eastAsia="SimSun"/>
          <w:b/>
          <w:spacing w:val="-1"/>
          <w:lang w:eastAsia="zh-CN"/>
        </w:rPr>
        <w:t>Россельхознадзор</w:t>
      </w:r>
      <w:r>
        <w:rPr>
          <w:rFonts w:eastAsia="SimSun"/>
          <w:b/>
          <w:caps/>
          <w:spacing w:val="-1"/>
          <w:lang w:eastAsia="zh-CN"/>
        </w:rPr>
        <w:t>)</w:t>
      </w:r>
    </w:p>
    <w:p w:rsidR="00032CB0" w:rsidRDefault="00C96768">
      <w:pPr>
        <w:spacing w:before="120"/>
        <w:jc w:val="center"/>
        <w:rPr>
          <w:rFonts w:eastAsia="Calibri"/>
          <w:b/>
          <w:bCs/>
          <w:spacing w:val="-1"/>
        </w:rPr>
      </w:pPr>
      <w:r>
        <w:rPr>
          <w:rFonts w:eastAsia="Calibri"/>
          <w:b/>
          <w:bCs/>
          <w:spacing w:val="-1"/>
        </w:rPr>
        <w:t>Федеральное государственное бюджетное учреждение</w:t>
      </w:r>
    </w:p>
    <w:p w:rsidR="00032CB0" w:rsidRDefault="00C96768">
      <w:pPr>
        <w:jc w:val="center"/>
        <w:rPr>
          <w:rFonts w:eastAsia="Calibri"/>
          <w:b/>
          <w:bCs/>
          <w:spacing w:val="-1"/>
        </w:rPr>
      </w:pPr>
      <w:r>
        <w:rPr>
          <w:rFonts w:eastAsia="Calibri"/>
          <w:b/>
          <w:bCs/>
          <w:spacing w:val="-1"/>
        </w:rPr>
        <w:t>«ВСЕРОССИЙСКИЙ ЦЕНТР КАРАНТИНА РАСТЕНИЙ»</w:t>
      </w:r>
    </w:p>
    <w:p w:rsidR="00032CB0" w:rsidRDefault="00C96768">
      <w:pPr>
        <w:jc w:val="center"/>
        <w:rPr>
          <w:rFonts w:eastAsia="Calibri"/>
          <w:b/>
          <w:bCs/>
          <w:spacing w:val="-1"/>
        </w:rPr>
      </w:pPr>
      <w:r>
        <w:rPr>
          <w:rFonts w:eastAsia="Calibri"/>
          <w:b/>
          <w:bCs/>
          <w:spacing w:val="-1"/>
        </w:rPr>
        <w:t>(ФГБУ «ВНИИКР»)</w:t>
      </w:r>
    </w:p>
    <w:p w:rsidR="00032CB0" w:rsidRDefault="00032CB0">
      <w:pPr>
        <w:widowControl w:val="0"/>
        <w:ind w:left="-142"/>
        <w:jc w:val="center"/>
        <w:rPr>
          <w:rFonts w:eastAsia="SimSun"/>
          <w:b/>
          <w:lang w:eastAsia="ar-SA"/>
        </w:rPr>
      </w:pPr>
    </w:p>
    <w:p w:rsidR="00032CB0" w:rsidRDefault="00032CB0">
      <w:pPr>
        <w:widowControl w:val="0"/>
        <w:ind w:left="-142"/>
        <w:jc w:val="center"/>
        <w:rPr>
          <w:rFonts w:eastAsia="SimSun"/>
          <w:b/>
          <w:lang w:eastAsia="ar-SA"/>
        </w:rPr>
      </w:pPr>
    </w:p>
    <w:p w:rsidR="00032CB0" w:rsidRDefault="00032CB0">
      <w:pPr>
        <w:widowControl w:val="0"/>
        <w:ind w:left="-142"/>
        <w:jc w:val="center"/>
        <w:rPr>
          <w:rFonts w:eastAsia="SimSun"/>
          <w:b/>
          <w:lang w:eastAsia="ar-SA"/>
        </w:rPr>
      </w:pPr>
    </w:p>
    <w:p w:rsidR="00032CB0" w:rsidRDefault="00032CB0">
      <w:pPr>
        <w:widowControl w:val="0"/>
        <w:ind w:left="-142"/>
        <w:jc w:val="center"/>
        <w:rPr>
          <w:rFonts w:eastAsia="SimSun"/>
          <w:b/>
          <w:lang w:eastAsia="ar-SA"/>
        </w:rPr>
      </w:pPr>
    </w:p>
    <w:p w:rsidR="00032CB0" w:rsidRDefault="00C96768">
      <w:pPr>
        <w:pStyle w:val="aff7"/>
        <w:outlineLvl w:val="9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МЕТОДИЧЕСКИЕ РЕКОМЕНДАЦИИ </w:t>
      </w:r>
    </w:p>
    <w:p w:rsidR="00032CB0" w:rsidRDefault="00C96768">
      <w:pPr>
        <w:pStyle w:val="aff7"/>
        <w:spacing w:before="0" w:after="0"/>
        <w:outlineLvl w:val="9"/>
        <w:rPr>
          <w:b w:val="0"/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ПО БОРЬБЕ С БОРЩЕВИКОМ СОСНОВСКОГО</w:t>
      </w:r>
    </w:p>
    <w:p w:rsidR="00032CB0" w:rsidRDefault="00C96768">
      <w:pPr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(</w:t>
      </w:r>
      <w:r>
        <w:rPr>
          <w:b/>
          <w:i/>
          <w:sz w:val="32"/>
          <w:szCs w:val="32"/>
          <w:lang w:eastAsia="ar-SA"/>
        </w:rPr>
        <w:t>Heracleum sosnovskyi</w:t>
      </w:r>
      <w:r>
        <w:rPr>
          <w:b/>
          <w:sz w:val="32"/>
          <w:szCs w:val="32"/>
          <w:lang w:eastAsia="ar-SA"/>
        </w:rPr>
        <w:t xml:space="preserve"> Manden.)</w:t>
      </w:r>
    </w:p>
    <w:p w:rsidR="00C13DDF" w:rsidRPr="00C13DDF" w:rsidRDefault="00C13DDF" w:rsidP="00C13DDF">
      <w:pPr>
        <w:pStyle w:val="aff7"/>
        <w:outlineLvl w:val="9"/>
        <w:rPr>
          <w:color w:val="auto"/>
          <w:sz w:val="32"/>
          <w:szCs w:val="32"/>
        </w:rPr>
      </w:pPr>
      <w:r w:rsidRPr="00C13DDF">
        <w:rPr>
          <w:color w:val="auto"/>
          <w:sz w:val="32"/>
          <w:szCs w:val="32"/>
        </w:rPr>
        <w:t>на землях сельскохозяйственного назначения</w:t>
      </w:r>
    </w:p>
    <w:p w:rsidR="00032CB0" w:rsidRDefault="00032CB0">
      <w:pPr>
        <w:jc w:val="center"/>
        <w:rPr>
          <w:b/>
          <w:lang w:eastAsia="ar-SA"/>
        </w:rPr>
      </w:pPr>
      <w:bookmarkStart w:id="2" w:name="_GoBack"/>
      <w:bookmarkEnd w:id="2"/>
    </w:p>
    <w:p w:rsidR="00032CB0" w:rsidRDefault="00C96768">
      <w:pPr>
        <w:ind w:left="-142"/>
        <w:jc w:val="center"/>
        <w:rPr>
          <w:b/>
          <w:lang w:eastAsia="ar-SA"/>
        </w:rPr>
      </w:pPr>
      <w:r>
        <w:rPr>
          <w:b/>
          <w:noProof/>
        </w:rPr>
        <w:lastRenderedPageBreak/>
        <mc:AlternateContent>
          <mc:Choice Requires="wpg">
            <w:drawing>
              <wp:inline distT="0" distB="0" distL="0" distR="0">
                <wp:extent cx="4361815" cy="5029200"/>
                <wp:effectExtent l="0" t="0" r="635" b="0"/>
                <wp:docPr id="1" name="Рисунок 3" descr="C:\Users\kulakova_j\Downloads\IMG_0469-bi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kulakova_j\Downloads\IMG_0469-big.jp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t="11288" b="23926"/>
                        <a:stretch/>
                      </pic:blipFill>
                      <pic:spPr bwMode="auto">
                        <a:xfrm>
                          <a:off x="0" y="0"/>
                          <a:ext cx="4368081" cy="503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3.45pt;height:396.0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</w:p>
    <w:p w:rsidR="00032CB0" w:rsidRDefault="00032CB0">
      <w:pPr>
        <w:ind w:left="-142"/>
        <w:jc w:val="center"/>
        <w:rPr>
          <w:b/>
          <w:lang w:eastAsia="ar-SA"/>
        </w:rPr>
      </w:pPr>
    </w:p>
    <w:p w:rsidR="00032CB0" w:rsidRDefault="00032CB0">
      <w:pPr>
        <w:ind w:left="-142"/>
        <w:jc w:val="center"/>
        <w:rPr>
          <w:b/>
          <w:lang w:eastAsia="ar-SA"/>
        </w:rPr>
      </w:pPr>
    </w:p>
    <w:p w:rsidR="00032CB0" w:rsidRDefault="00C96768">
      <w:pPr>
        <w:ind w:left="-142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2026</w:t>
      </w:r>
    </w:p>
    <w:p w:rsidR="00032CB0" w:rsidRDefault="00C96768">
      <w:pPr>
        <w:ind w:left="-142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br w:type="page" w:clear="all"/>
      </w:r>
    </w:p>
    <w:p w:rsidR="00032CB0" w:rsidRPr="007943BE" w:rsidRDefault="00C96768">
      <w:pPr>
        <w:pStyle w:val="1"/>
        <w:spacing w:beforeAutospacing="0" w:afterAutospacing="0" w:line="283" w:lineRule="atLeast"/>
        <w:ind w:left="993" w:right="566"/>
        <w:rPr>
          <w:sz w:val="28"/>
          <w:szCs w:val="28"/>
          <w:lang w:val="ru-RU"/>
        </w:rPr>
      </w:pPr>
      <w:bookmarkStart w:id="3" w:name="_Toc234595554"/>
      <w:bookmarkEnd w:id="0"/>
      <w:bookmarkEnd w:id="1"/>
      <w:r>
        <w:rPr>
          <w:sz w:val="28"/>
          <w:szCs w:val="28"/>
          <w:lang w:val="ru-RU"/>
        </w:rPr>
        <w:lastRenderedPageBreak/>
        <w:t>Комплекс мер по борьбе с борщевиком Сосновского на землях сельскохозяйственного назначения</w:t>
      </w:r>
      <w:bookmarkEnd w:id="3"/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землях сельскохозяйственного назначения следует последовательно проводить следующие комплексы мероприятий:</w:t>
      </w:r>
    </w:p>
    <w:p w:rsidR="00032CB0" w:rsidRDefault="00032CB0">
      <w:pPr>
        <w:spacing w:line="283" w:lineRule="atLeast"/>
        <w:ind w:firstLine="709"/>
        <w:jc w:val="both"/>
        <w:rPr>
          <w:sz w:val="28"/>
          <w:szCs w:val="28"/>
        </w:rPr>
      </w:pP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весенне-летнее время: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обработка гербицидами;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вспашка и культивация (либо дискование в два следа перекрестно);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посев многолетних бобовых трав (клевер красный; клевер гибридный, клевер ползучий; люцерна и т.п.).</w:t>
      </w:r>
    </w:p>
    <w:p w:rsidR="00032CB0" w:rsidRDefault="00032CB0">
      <w:pPr>
        <w:spacing w:line="283" w:lineRule="atLeast"/>
        <w:ind w:firstLine="709"/>
        <w:jc w:val="both"/>
        <w:rPr>
          <w:sz w:val="28"/>
          <w:szCs w:val="28"/>
        </w:rPr>
      </w:pP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вторую половину лета: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скашивание;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обработка гербицидами;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вспашка/культивация, подготовка под посев;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посев бобовых или злаковых культур, например, озимых зерновых в зависимости от примененного ранее пестицида.</w:t>
      </w:r>
    </w:p>
    <w:p w:rsidR="00032CB0" w:rsidRDefault="00032CB0">
      <w:pPr>
        <w:spacing w:line="283" w:lineRule="atLeast"/>
        <w:ind w:firstLine="709"/>
        <w:jc w:val="both"/>
        <w:rPr>
          <w:sz w:val="28"/>
          <w:szCs w:val="28"/>
        </w:rPr>
      </w:pP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 водоохранных зонах: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одно- или двукратное скашивание;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вспашка и культивация (либо дискование в два следа перекрестно);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посев многолетних бобовых или газонных культур, луговых трав.</w:t>
      </w:r>
    </w:p>
    <w:p w:rsidR="00032CB0" w:rsidRDefault="00032CB0">
      <w:pPr>
        <w:spacing w:line="283" w:lineRule="atLeast"/>
        <w:ind w:firstLine="709"/>
        <w:jc w:val="both"/>
        <w:rPr>
          <w:sz w:val="28"/>
          <w:szCs w:val="28"/>
        </w:rPr>
      </w:pPr>
    </w:p>
    <w:p w:rsidR="00032CB0" w:rsidRPr="007943BE" w:rsidRDefault="00C96768">
      <w:pPr>
        <w:pStyle w:val="1"/>
        <w:spacing w:beforeAutospacing="0" w:afterAutospacing="0" w:line="283" w:lineRule="atLeast"/>
        <w:rPr>
          <w:sz w:val="28"/>
          <w:szCs w:val="28"/>
          <w:lang w:val="ru-RU"/>
        </w:rPr>
      </w:pPr>
      <w:bookmarkStart w:id="4" w:name="_Toc234595555"/>
      <w:r>
        <w:rPr>
          <w:sz w:val="28"/>
          <w:szCs w:val="28"/>
          <w:lang w:val="ru-RU"/>
        </w:rPr>
        <w:t>Мероприятия по борьбе с борщевиком Сосновского</w:t>
      </w:r>
      <w:bookmarkEnd w:id="4"/>
    </w:p>
    <w:p w:rsidR="00032CB0" w:rsidRPr="007943BE" w:rsidRDefault="00032CB0">
      <w:pPr>
        <w:pStyle w:val="a7"/>
        <w:spacing w:before="0" w:after="0" w:line="283" w:lineRule="atLeast"/>
        <w:rPr>
          <w:szCs w:val="28"/>
          <w:lang w:val="ru-RU"/>
        </w:rPr>
      </w:pPr>
    </w:p>
    <w:p w:rsidR="00032CB0" w:rsidRPr="007943BE" w:rsidRDefault="00C96768">
      <w:pPr>
        <w:pStyle w:val="a7"/>
        <w:spacing w:before="0" w:after="0" w:line="283" w:lineRule="atLeast"/>
        <w:rPr>
          <w:szCs w:val="28"/>
          <w:lang w:val="ru-RU"/>
        </w:rPr>
      </w:pPr>
      <w:bookmarkStart w:id="5" w:name="_Toc234595556"/>
      <w:r>
        <w:rPr>
          <w:szCs w:val="28"/>
          <w:lang w:val="ru-RU"/>
        </w:rPr>
        <w:t>Химические мероприятия</w:t>
      </w:r>
      <w:bookmarkEnd w:id="5"/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выборе гербицида для обработки участков необходимо ориентироваться на следующее: </w:t>
      </w:r>
    </w:p>
    <w:p w:rsidR="00032CB0" w:rsidRDefault="00C96768">
      <w:pPr>
        <w:spacing w:line="283" w:lineRule="atLeast"/>
        <w:ind w:firstLine="709"/>
        <w:jc w:val="both"/>
        <w:rPr>
          <w:bCs/>
          <w:i/>
          <w:sz w:val="28"/>
          <w:szCs w:val="28"/>
        </w:rPr>
      </w:pPr>
      <w:r>
        <w:rPr>
          <w:i/>
          <w:sz w:val="28"/>
          <w:szCs w:val="28"/>
        </w:rPr>
        <w:t xml:space="preserve">по спектру действия подходят: </w:t>
      </w:r>
    </w:p>
    <w:p w:rsidR="00032CB0" w:rsidRDefault="00C96768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все гербициды неизбирательного действия;</w:t>
      </w:r>
    </w:p>
    <w:p w:rsidR="00032CB0" w:rsidRDefault="00C96768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все гербициды против двудольных сорняков;</w:t>
      </w:r>
    </w:p>
    <w:p w:rsidR="00032CB0" w:rsidRDefault="00C96768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подходят гербициды против однодольных.</w:t>
      </w:r>
    </w:p>
    <w:p w:rsidR="00032CB0" w:rsidRDefault="00C96768">
      <w:pPr>
        <w:spacing w:line="283" w:lineRule="atLeast"/>
        <w:ind w:firstLine="709"/>
        <w:jc w:val="both"/>
        <w:rPr>
          <w:bCs/>
          <w:i/>
          <w:sz w:val="28"/>
          <w:szCs w:val="28"/>
        </w:rPr>
      </w:pPr>
      <w:r>
        <w:rPr>
          <w:i/>
          <w:sz w:val="28"/>
          <w:szCs w:val="28"/>
        </w:rPr>
        <w:t>по регламенту применения</w:t>
      </w:r>
      <w:r>
        <w:rPr>
          <w:i/>
          <w:iCs/>
          <w:sz w:val="28"/>
          <w:szCs w:val="28"/>
        </w:rPr>
        <w:t xml:space="preserve"> на основе действующих веществ:</w:t>
      </w:r>
    </w:p>
    <w:p w:rsidR="00032CB0" w:rsidRDefault="00C96768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глифосата кислоты (калийная, натриевая, изопропиламинная соли);</w:t>
      </w:r>
    </w:p>
    <w:p w:rsidR="00032CB0" w:rsidRDefault="00C96768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дикамбы кислоты (и смесевые);</w:t>
      </w:r>
    </w:p>
    <w:p w:rsidR="00032CB0" w:rsidRDefault="00C96768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имазамокса, имазапира (и смесевые);</w:t>
      </w:r>
    </w:p>
    <w:p w:rsidR="00032CB0" w:rsidRDefault="00C96768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пиклорама;</w:t>
      </w:r>
    </w:p>
    <w:p w:rsidR="00032CB0" w:rsidRDefault="00C96768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МЦПА;</w:t>
      </w:r>
    </w:p>
    <w:p w:rsidR="00032CB0" w:rsidRDefault="00C96768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сульфонилмочевины (метсульфурон-метил, сульфометурон-метила кислота (калиевая соль) и др.).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Коммерческие названия препаратов на основе данных действующих веществ и их смесей и рекомендуемые нормы их применения имеются в официальном Реестре пестицидов и агрохимикатов.</w:t>
      </w:r>
    </w:p>
    <w:p w:rsidR="00032CB0" w:rsidRDefault="00032CB0">
      <w:pPr>
        <w:spacing w:line="283" w:lineRule="atLeast"/>
        <w:ind w:firstLine="709"/>
        <w:jc w:val="both"/>
        <w:rPr>
          <w:sz w:val="28"/>
          <w:szCs w:val="28"/>
        </w:rPr>
      </w:pPr>
    </w:p>
    <w:p w:rsidR="00032CB0" w:rsidRDefault="00C96768">
      <w:pPr>
        <w:widowControl w:val="0"/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Выбирается одна из схем применения гербицидов:</w:t>
      </w:r>
    </w:p>
    <w:p w:rsidR="00032CB0" w:rsidRDefault="00C96768">
      <w:pPr>
        <w:tabs>
          <w:tab w:val="left" w:pos="1260"/>
        </w:tabs>
        <w:spacing w:line="283" w:lineRule="atLeast"/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1. Двукратная обработка очагов:</w:t>
      </w:r>
    </w:p>
    <w:p w:rsidR="00032CB0" w:rsidRDefault="00C96768">
      <w:pPr>
        <w:pStyle w:val="a4"/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Первая обработка проводится в весенне-летний период: одним из гербицидов на основе калийной соли глифосата кислоты. </w:t>
      </w:r>
    </w:p>
    <w:p w:rsidR="00032CB0" w:rsidRDefault="00C96768">
      <w:pPr>
        <w:pStyle w:val="a4"/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Вторая обработка осуществляется в летне-осенний период: одним из гербицидов на основе изопропиламинной соли глифосата кислоты или на основе дикамбы.</w:t>
      </w:r>
    </w:p>
    <w:p w:rsidR="00032CB0" w:rsidRDefault="00C96768">
      <w:pPr>
        <w:tabs>
          <w:tab w:val="left" w:pos="1260"/>
        </w:tabs>
        <w:spacing w:line="283" w:lineRule="atLeas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2. Однократная обработка очагов (выбирается в зависимости от категории земельного участка и севооборота в соответствии с регламентами применения для каждого гербицида)</w:t>
      </w:r>
      <w:r>
        <w:rPr>
          <w:sz w:val="28"/>
          <w:szCs w:val="28"/>
        </w:rPr>
        <w:t>:</w:t>
      </w:r>
    </w:p>
    <w:p w:rsidR="00032CB0" w:rsidRDefault="00C96768">
      <w:pPr>
        <w:pStyle w:val="a4"/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 баковой смесью гербицида на основе метсульфурон–метила и одним из гербицидов на основе солей глифосата кислоты;</w:t>
      </w:r>
    </w:p>
    <w:p w:rsidR="00032CB0" w:rsidRDefault="00C96768">
      <w:pPr>
        <w:pStyle w:val="a4"/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 баковой смесью гербицида на основе метсульфурон-метила и гербицида на основе МЦПА;</w:t>
      </w:r>
    </w:p>
    <w:p w:rsidR="00032CB0" w:rsidRDefault="00C96768">
      <w:pPr>
        <w:pStyle w:val="a4"/>
        <w:spacing w:line="283" w:lineRule="atLeast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2.3 баковой смесью гербицида на основе метсульфурон-метила и гербицида на основе МЦПА + пиклорам. 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3. Обработка сенокосных угодий </w:t>
      </w:r>
      <w:r>
        <w:rPr>
          <w:sz w:val="28"/>
          <w:szCs w:val="28"/>
        </w:rPr>
        <w:t>гербицидами на основе дикамбы.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используемых гербицидов, нормы применения, время обработки и кратность устанавливаются в зависимости от предшествующей, выращиваемой и последующей культур согласно регламентам применения, включенным в Государственный реестр пестицидов и агрохимикатов.</w:t>
      </w:r>
    </w:p>
    <w:p w:rsidR="00032CB0" w:rsidRDefault="00032CB0">
      <w:pPr>
        <w:spacing w:line="283" w:lineRule="atLeast"/>
        <w:ind w:firstLine="709"/>
        <w:jc w:val="both"/>
        <w:rPr>
          <w:sz w:val="28"/>
          <w:szCs w:val="28"/>
        </w:rPr>
      </w:pPr>
    </w:p>
    <w:p w:rsidR="00032CB0" w:rsidRPr="007943BE" w:rsidRDefault="00C96768">
      <w:pPr>
        <w:pStyle w:val="a7"/>
        <w:spacing w:before="0" w:after="0" w:line="283" w:lineRule="atLeast"/>
        <w:rPr>
          <w:szCs w:val="28"/>
          <w:lang w:val="ru-RU"/>
        </w:rPr>
      </w:pPr>
      <w:bookmarkStart w:id="6" w:name="_Toc234595557"/>
      <w:r>
        <w:rPr>
          <w:szCs w:val="28"/>
          <w:lang w:val="ru-RU"/>
        </w:rPr>
        <w:t>Агротехнические и механические мероприятия</w:t>
      </w:r>
      <w:bookmarkEnd w:id="6"/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Скашивание и выкапывание проводится на территориях, имеющих ограничения применения гербицидов (водоохранные зоны, места отдыха людей, и др.) или там, где химическая обработка не проведена в срок. Скашивание повторяют в летний период не реже, чем 1 раз в 14 дней до полного уничтожения зарослей.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территориях сельскохозяйственных предприятий (где возможно применение сельскохозяйственной техники), проводят </w:t>
      </w:r>
      <w:r>
        <w:rPr>
          <w:sz w:val="28"/>
          <w:szCs w:val="28"/>
        </w:rPr>
        <w:lastRenderedPageBreak/>
        <w:t>вспашку и дискование для полного уничтожения вегетирующих растений борщевика Сосновского.</w:t>
      </w:r>
    </w:p>
    <w:p w:rsidR="00032CB0" w:rsidRDefault="00032CB0">
      <w:pPr>
        <w:spacing w:line="283" w:lineRule="atLeast"/>
        <w:ind w:firstLine="709"/>
        <w:jc w:val="both"/>
        <w:rPr>
          <w:sz w:val="28"/>
          <w:szCs w:val="28"/>
        </w:rPr>
      </w:pPr>
    </w:p>
    <w:p w:rsidR="00032CB0" w:rsidRPr="007943BE" w:rsidRDefault="00C96768">
      <w:pPr>
        <w:pStyle w:val="1"/>
        <w:spacing w:beforeAutospacing="0" w:afterAutospacing="0" w:line="283" w:lineRule="atLeast"/>
        <w:rPr>
          <w:sz w:val="28"/>
          <w:szCs w:val="28"/>
          <w:lang w:val="ru-RU"/>
        </w:rPr>
      </w:pPr>
      <w:bookmarkStart w:id="7" w:name="_Toc234595559"/>
      <w:r>
        <w:rPr>
          <w:sz w:val="28"/>
          <w:szCs w:val="28"/>
          <w:lang w:val="ru-RU"/>
        </w:rPr>
        <w:t>Меры безопасности</w:t>
      </w:r>
      <w:bookmarkEnd w:id="7"/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по борьбе с борщевиком Сосновского необходимо проводить в специальной одежде и с использованием средств индивидуальной защиты (водонепроницаемый костюм с капюшоном, резиновые сапоги и перчатки с высокой манжетой для защиты запястий рук, защитные очки, респираторы или маски). Мероприятия проводят в ранние часы или вечером. В случае попадания сока борщевика Сосновского на кожу необходимо как можно скорее промыть ее водой с мылом и исключить пребывание на солнце на 1–3 суток. В случае проявления ожогов следует обратиться к врачу.</w:t>
      </w:r>
    </w:p>
    <w:sectPr w:rsidR="00032CB0">
      <w:footerReference w:type="default" r:id="rId12"/>
      <w:pgSz w:w="11906" w:h="16838"/>
      <w:pgMar w:top="1134" w:right="991" w:bottom="70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160" w:rsidRDefault="001A4160">
      <w:r>
        <w:separator/>
      </w:r>
    </w:p>
  </w:endnote>
  <w:endnote w:type="continuationSeparator" w:id="0">
    <w:p w:rsidR="001A4160" w:rsidRDefault="001A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2568011"/>
      <w:docPartObj>
        <w:docPartGallery w:val="Page Numbers (Bottom of Page)"/>
        <w:docPartUnique/>
      </w:docPartObj>
    </w:sdtPr>
    <w:sdtEndPr/>
    <w:sdtContent>
      <w:p w:rsidR="00032CB0" w:rsidRDefault="00C9676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11B" w:rsidRPr="00B5711B">
          <w:rPr>
            <w:noProof/>
            <w:lang w:val="ru-RU"/>
          </w:rPr>
          <w:t>3</w:t>
        </w:r>
        <w:r>
          <w:fldChar w:fldCharType="end"/>
        </w:r>
      </w:p>
    </w:sdtContent>
  </w:sdt>
  <w:p w:rsidR="00032CB0" w:rsidRDefault="00032C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160" w:rsidRDefault="001A4160">
      <w:r>
        <w:separator/>
      </w:r>
    </w:p>
  </w:footnote>
  <w:footnote w:type="continuationSeparator" w:id="0">
    <w:p w:rsidR="001A4160" w:rsidRDefault="001A4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736E"/>
    <w:multiLevelType w:val="hybridMultilevel"/>
    <w:tmpl w:val="0178B7CA"/>
    <w:lvl w:ilvl="0" w:tplc="3BFA6D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74CCD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83AF6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762CC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EBEDA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64420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CC0DC8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9166E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2E6794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3B6554"/>
    <w:multiLevelType w:val="hybridMultilevel"/>
    <w:tmpl w:val="31C823AC"/>
    <w:lvl w:ilvl="0" w:tplc="F0CEA4E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9942F23C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B20ABF98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A418CC5A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3864B96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8740438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5A3C0DFE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8AAFDE8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5668D6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A6E523A"/>
    <w:multiLevelType w:val="hybridMultilevel"/>
    <w:tmpl w:val="9364D266"/>
    <w:lvl w:ilvl="0" w:tplc="33CC8936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40848E18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AA12093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0422696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C062FBC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52DAC4D6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7A6DE5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97838DC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C98A31F4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ACD1B1C"/>
    <w:multiLevelType w:val="hybridMultilevel"/>
    <w:tmpl w:val="94A62806"/>
    <w:lvl w:ilvl="0" w:tplc="BAEA2CBE">
      <w:start w:val="1"/>
      <w:numFmt w:val="decimal"/>
      <w:lvlText w:val="%1."/>
      <w:lvlJc w:val="left"/>
      <w:pPr>
        <w:ind w:left="1429" w:hanging="360"/>
      </w:pPr>
    </w:lvl>
    <w:lvl w:ilvl="1" w:tplc="F0023BA4">
      <w:start w:val="1"/>
      <w:numFmt w:val="lowerLetter"/>
      <w:lvlText w:val="%2."/>
      <w:lvlJc w:val="left"/>
      <w:pPr>
        <w:ind w:left="2149" w:hanging="360"/>
      </w:pPr>
    </w:lvl>
    <w:lvl w:ilvl="2" w:tplc="63985592">
      <w:start w:val="1"/>
      <w:numFmt w:val="lowerRoman"/>
      <w:lvlText w:val="%3."/>
      <w:lvlJc w:val="right"/>
      <w:pPr>
        <w:ind w:left="2869" w:hanging="180"/>
      </w:pPr>
    </w:lvl>
    <w:lvl w:ilvl="3" w:tplc="5A8E5C82">
      <w:start w:val="1"/>
      <w:numFmt w:val="decimal"/>
      <w:lvlText w:val="%4."/>
      <w:lvlJc w:val="left"/>
      <w:pPr>
        <w:ind w:left="3589" w:hanging="360"/>
      </w:pPr>
    </w:lvl>
    <w:lvl w:ilvl="4" w:tplc="5638F8E2">
      <w:start w:val="1"/>
      <w:numFmt w:val="lowerLetter"/>
      <w:lvlText w:val="%5."/>
      <w:lvlJc w:val="left"/>
      <w:pPr>
        <w:ind w:left="4309" w:hanging="360"/>
      </w:pPr>
    </w:lvl>
    <w:lvl w:ilvl="5" w:tplc="9A4E0C7C">
      <w:start w:val="1"/>
      <w:numFmt w:val="lowerRoman"/>
      <w:lvlText w:val="%6."/>
      <w:lvlJc w:val="right"/>
      <w:pPr>
        <w:ind w:left="5029" w:hanging="180"/>
      </w:pPr>
    </w:lvl>
    <w:lvl w:ilvl="6" w:tplc="731EBB24">
      <w:start w:val="1"/>
      <w:numFmt w:val="decimal"/>
      <w:lvlText w:val="%7."/>
      <w:lvlJc w:val="left"/>
      <w:pPr>
        <w:ind w:left="5749" w:hanging="360"/>
      </w:pPr>
    </w:lvl>
    <w:lvl w:ilvl="7" w:tplc="C2DE48A2">
      <w:start w:val="1"/>
      <w:numFmt w:val="lowerLetter"/>
      <w:lvlText w:val="%8."/>
      <w:lvlJc w:val="left"/>
      <w:pPr>
        <w:ind w:left="6469" w:hanging="360"/>
      </w:pPr>
    </w:lvl>
    <w:lvl w:ilvl="8" w:tplc="E0B2A334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15A5C46"/>
    <w:multiLevelType w:val="hybridMultilevel"/>
    <w:tmpl w:val="794CFB54"/>
    <w:lvl w:ilvl="0" w:tplc="7EA03B7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74E136E">
      <w:start w:val="1"/>
      <w:numFmt w:val="lowerLetter"/>
      <w:lvlText w:val="%2."/>
      <w:lvlJc w:val="left"/>
      <w:pPr>
        <w:ind w:left="1080" w:hanging="360"/>
      </w:pPr>
    </w:lvl>
    <w:lvl w:ilvl="2" w:tplc="A2AAEF94">
      <w:start w:val="1"/>
      <w:numFmt w:val="lowerRoman"/>
      <w:lvlText w:val="%3."/>
      <w:lvlJc w:val="right"/>
      <w:pPr>
        <w:ind w:left="1800" w:hanging="180"/>
      </w:pPr>
    </w:lvl>
    <w:lvl w:ilvl="3" w:tplc="7FDA2B92">
      <w:start w:val="1"/>
      <w:numFmt w:val="decimal"/>
      <w:lvlText w:val="%4."/>
      <w:lvlJc w:val="left"/>
      <w:pPr>
        <w:ind w:left="2520" w:hanging="360"/>
      </w:pPr>
    </w:lvl>
    <w:lvl w:ilvl="4" w:tplc="0B0AE4A4">
      <w:start w:val="1"/>
      <w:numFmt w:val="lowerLetter"/>
      <w:lvlText w:val="%5."/>
      <w:lvlJc w:val="left"/>
      <w:pPr>
        <w:ind w:left="3240" w:hanging="360"/>
      </w:pPr>
    </w:lvl>
    <w:lvl w:ilvl="5" w:tplc="FF064EB8">
      <w:start w:val="1"/>
      <w:numFmt w:val="lowerRoman"/>
      <w:lvlText w:val="%6."/>
      <w:lvlJc w:val="right"/>
      <w:pPr>
        <w:ind w:left="3960" w:hanging="180"/>
      </w:pPr>
    </w:lvl>
    <w:lvl w:ilvl="6" w:tplc="3A8693EA">
      <w:start w:val="1"/>
      <w:numFmt w:val="decimal"/>
      <w:lvlText w:val="%7."/>
      <w:lvlJc w:val="left"/>
      <w:pPr>
        <w:ind w:left="4680" w:hanging="360"/>
      </w:pPr>
    </w:lvl>
    <w:lvl w:ilvl="7" w:tplc="0332EFB0">
      <w:start w:val="1"/>
      <w:numFmt w:val="lowerLetter"/>
      <w:lvlText w:val="%8."/>
      <w:lvlJc w:val="left"/>
      <w:pPr>
        <w:ind w:left="5400" w:hanging="360"/>
      </w:pPr>
    </w:lvl>
    <w:lvl w:ilvl="8" w:tplc="C74686EA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55719D"/>
    <w:multiLevelType w:val="hybridMultilevel"/>
    <w:tmpl w:val="D2ACC2EE"/>
    <w:lvl w:ilvl="0" w:tplc="9F88B06A">
      <w:start w:val="1"/>
      <w:numFmt w:val="bullet"/>
      <w:lvlText w:val="-"/>
      <w:lvlJc w:val="left"/>
      <w:pPr>
        <w:ind w:left="1429" w:hanging="360"/>
      </w:pPr>
      <w:rPr>
        <w:rFonts w:ascii="Courier New" w:hAnsi="Courier New"/>
      </w:rPr>
    </w:lvl>
    <w:lvl w:ilvl="1" w:tplc="66183A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918E772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01E393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589E3BE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36746DF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2A81CC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EC60ACF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96DC0EC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2E6458B"/>
    <w:multiLevelType w:val="hybridMultilevel"/>
    <w:tmpl w:val="6076147E"/>
    <w:lvl w:ilvl="0" w:tplc="6D1086FC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0AA70C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A9600D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76C19A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412D70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DACB5E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8A0D5C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4382F7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4BC298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45309F"/>
    <w:multiLevelType w:val="hybridMultilevel"/>
    <w:tmpl w:val="EBCEFA16"/>
    <w:lvl w:ilvl="0" w:tplc="B2F859D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FB6139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6D8AF0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F1C34C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C10A3C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DCB5F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8CAECC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6EEF01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9F824C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1BE7241"/>
    <w:multiLevelType w:val="multilevel"/>
    <w:tmpl w:val="033C8606"/>
    <w:lvl w:ilvl="0">
      <w:start w:val="1"/>
      <w:numFmt w:val="decimal"/>
      <w:pStyle w:val="2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0"/>
      <w:lvlText w:val="%1.%2."/>
      <w:lvlJc w:val="left"/>
      <w:pPr>
        <w:tabs>
          <w:tab w:val="num" w:pos="756"/>
        </w:tabs>
        <w:ind w:left="756" w:hanging="576"/>
      </w:pPr>
      <w:rPr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DE1E91"/>
    <w:multiLevelType w:val="hybridMultilevel"/>
    <w:tmpl w:val="D2603266"/>
    <w:lvl w:ilvl="0" w:tplc="D4B48CD8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E5EE85B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D7AA50E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6318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9F6061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2E0B7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C9429F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028EC5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0DECD9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B41448C"/>
    <w:multiLevelType w:val="hybridMultilevel"/>
    <w:tmpl w:val="F1001F94"/>
    <w:lvl w:ilvl="0" w:tplc="FA34337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990E4F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7C867E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FDABC0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36AAC3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4681FA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84ADD6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D4CE8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328905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0B74884"/>
    <w:multiLevelType w:val="hybridMultilevel"/>
    <w:tmpl w:val="75465A02"/>
    <w:lvl w:ilvl="0" w:tplc="637612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7C31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580E95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7ECDC9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03C42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7AA256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02C53A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316EC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12876F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D5E737C"/>
    <w:multiLevelType w:val="hybridMultilevel"/>
    <w:tmpl w:val="5884205E"/>
    <w:lvl w:ilvl="0" w:tplc="3FF295BC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ECCE320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6C6322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2CA87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2E64C6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F9A37D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764E71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D5A776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3CEC38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5865B72"/>
    <w:multiLevelType w:val="hybridMultilevel"/>
    <w:tmpl w:val="D34A46FC"/>
    <w:lvl w:ilvl="0" w:tplc="8A08FD50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9D820A2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C08F31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E56BE3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C6A42E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B3A8F7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7E6952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04A247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2C89AF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8"/>
  </w:num>
  <w:num w:numId="5">
    <w:abstractNumId w:val="4"/>
  </w:num>
  <w:num w:numId="6">
    <w:abstractNumId w:val="12"/>
  </w:num>
  <w:num w:numId="7">
    <w:abstractNumId w:val="10"/>
  </w:num>
  <w:num w:numId="8">
    <w:abstractNumId w:val="3"/>
  </w:num>
  <w:num w:numId="9">
    <w:abstractNumId w:val="7"/>
  </w:num>
  <w:num w:numId="10">
    <w:abstractNumId w:val="13"/>
  </w:num>
  <w:num w:numId="11">
    <w:abstractNumId w:val="9"/>
  </w:num>
  <w:num w:numId="12">
    <w:abstractNumId w:val="1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CB0"/>
    <w:rsid w:val="00032CB0"/>
    <w:rsid w:val="001A4160"/>
    <w:rsid w:val="007943BE"/>
    <w:rsid w:val="00B5711B"/>
    <w:rsid w:val="00C13DDF"/>
    <w:rsid w:val="00C9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22BDD-AB45-4CD3-B01F-0FC3BD78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center"/>
      <w:outlineLvl w:val="0"/>
    </w:pPr>
    <w:rPr>
      <w:b/>
      <w:bCs/>
      <w:sz w:val="32"/>
      <w:szCs w:val="48"/>
      <w:lang w:val="en-US" w:eastAsia="en-US"/>
    </w:rPr>
  </w:style>
  <w:style w:type="paragraph" w:styleId="21">
    <w:name w:val="heading 2"/>
    <w:basedOn w:val="a"/>
    <w:next w:val="a"/>
    <w:link w:val="22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120" w:after="120"/>
      <w:jc w:val="center"/>
      <w:outlineLvl w:val="1"/>
    </w:pPr>
    <w:rPr>
      <w:b/>
      <w:sz w:val="28"/>
      <w:lang w:val="en-US" w:eastAsia="en-US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pPr>
      <w:ind w:left="720" w:right="720"/>
    </w:pPr>
    <w:rPr>
      <w:i/>
    </w:rPr>
  </w:style>
  <w:style w:type="character" w:customStyle="1" w:styleId="25">
    <w:name w:val="Цитата 2 Знак"/>
    <w:link w:val="24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tabs>
        <w:tab w:val="right" w:leader="dot" w:pos="9345"/>
      </w:tabs>
      <w:spacing w:line="360" w:lineRule="auto"/>
      <w:ind w:firstLine="709"/>
      <w:jc w:val="both"/>
    </w:pPr>
    <w:rPr>
      <w:b/>
    </w:rPr>
  </w:style>
  <w:style w:type="paragraph" w:styleId="26">
    <w:name w:val="toc 2"/>
    <w:basedOn w:val="a"/>
    <w:next w:val="a"/>
    <w:uiPriority w:val="39"/>
    <w:unhideWhenUsed/>
    <w:pPr>
      <w:tabs>
        <w:tab w:val="right" w:leader="dot" w:pos="9345"/>
      </w:tabs>
      <w:spacing w:line="360" w:lineRule="auto"/>
      <w:ind w:firstLine="709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basedOn w:val="1"/>
    <w:next w:val="a"/>
    <w:uiPriority w:val="39"/>
    <w:semiHidden/>
    <w:unhideWhenUsed/>
    <w:qFormat/>
    <w:pPr>
      <w:keepNext/>
      <w:keepLines/>
      <w:spacing w:before="480" w:beforeAutospacing="0" w:afterAutospacing="0" w:line="276" w:lineRule="auto"/>
      <w:jc w:val="left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styleId="af9">
    <w:name w:val="table of figures"/>
    <w:basedOn w:val="a"/>
    <w:next w:val="a"/>
    <w:uiPriority w:val="99"/>
    <w:unhideWhenUsed/>
  </w:style>
  <w:style w:type="table" w:customStyle="1" w:styleId="13">
    <w:name w:val="Стиль таблицы1"/>
    <w:basedOn w:val="a1"/>
    <w:tblPr/>
  </w:style>
  <w:style w:type="table" w:customStyle="1" w:styleId="27">
    <w:name w:val="Стиль таблицы2"/>
    <w:basedOn w:val="34"/>
    <w:tblPr/>
  </w:style>
  <w:style w:type="table" w:customStyle="1" w:styleId="35">
    <w:name w:val="Стиль таблицы3"/>
    <w:basedOn w:val="-32"/>
    <w:tblPr/>
  </w:style>
  <w:style w:type="table" w:styleId="34">
    <w:name w:val="Table Simple 3"/>
    <w:basedOn w:val="a1"/>
    <w:tblPr/>
  </w:style>
  <w:style w:type="paragraph" w:styleId="afa">
    <w:name w:val="Body Text Indent"/>
    <w:basedOn w:val="a"/>
    <w:link w:val="afb"/>
    <w:pPr>
      <w:ind w:left="312" w:hanging="312"/>
      <w:jc w:val="both"/>
    </w:pPr>
    <w:rPr>
      <w:sz w:val="28"/>
      <w:szCs w:val="20"/>
      <w:lang w:val="en-US" w:eastAsia="en-US"/>
    </w:rPr>
  </w:style>
  <w:style w:type="table" w:styleId="-32">
    <w:name w:val="Table Web 3"/>
    <w:basedOn w:val="a1"/>
    <w:tblPr/>
  </w:style>
  <w:style w:type="character" w:customStyle="1" w:styleId="afb">
    <w:name w:val="Основной текст с отступом Знак"/>
    <w:link w:val="afa"/>
    <w:rPr>
      <w:sz w:val="28"/>
      <w:lang w:eastAsia="en-US"/>
    </w:rPr>
  </w:style>
  <w:style w:type="character" w:customStyle="1" w:styleId="10">
    <w:name w:val="Заголовок 1 Знак"/>
    <w:link w:val="1"/>
    <w:uiPriority w:val="9"/>
    <w:rPr>
      <w:b/>
      <w:bCs/>
      <w:sz w:val="32"/>
      <w:szCs w:val="48"/>
      <w:lang w:val="en-US" w:eastAsia="en-US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styleId="afc">
    <w:name w:val="Balloon Text"/>
    <w:basedOn w:val="a"/>
    <w:link w:val="afd"/>
    <w:semiHidden/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semiHidden/>
    <w:rPr>
      <w:rFonts w:ascii="Tahoma" w:hAnsi="Tahoma" w:cs="Tahoma"/>
      <w:sz w:val="16"/>
      <w:szCs w:val="16"/>
    </w:rPr>
  </w:style>
  <w:style w:type="character" w:styleId="afe">
    <w:name w:val="annotation reference"/>
    <w:semiHidden/>
    <w:rPr>
      <w:sz w:val="16"/>
      <w:szCs w:val="16"/>
    </w:rPr>
  </w:style>
  <w:style w:type="paragraph" w:styleId="aff">
    <w:name w:val="annotation text"/>
    <w:basedOn w:val="a"/>
    <w:link w:val="aff0"/>
    <w:semiHidden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semiHidden/>
  </w:style>
  <w:style w:type="paragraph" w:styleId="aff1">
    <w:name w:val="annotation subject"/>
    <w:basedOn w:val="aff"/>
    <w:next w:val="aff"/>
    <w:link w:val="aff2"/>
    <w:semiHidden/>
    <w:rPr>
      <w:b/>
      <w:bCs/>
      <w:lang w:val="en-US" w:eastAsia="en-US"/>
    </w:rPr>
  </w:style>
  <w:style w:type="character" w:customStyle="1" w:styleId="aff2">
    <w:name w:val="Тема примечания Знак"/>
    <w:link w:val="aff1"/>
    <w:semiHidden/>
    <w:rPr>
      <w:b/>
      <w:bCs/>
    </w:rPr>
  </w:style>
  <w:style w:type="paragraph" w:customStyle="1" w:styleId="aff3">
    <w:name w:val="Знак"/>
    <w:basedOn w:val="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">
    <w:name w:val="Стиль2"/>
    <w:basedOn w:val="20"/>
    <w:pPr>
      <w:keepNext/>
      <w:keepLines/>
      <w:widowControl w:val="0"/>
      <w:numPr>
        <w:ilvl w:val="0"/>
      </w:numPr>
      <w:suppressLineNumbers/>
      <w:tabs>
        <w:tab w:val="clear" w:pos="432"/>
        <w:tab w:val="num" w:pos="756"/>
      </w:tabs>
      <w:spacing w:after="60"/>
      <w:ind w:left="756" w:hanging="576"/>
      <w:jc w:val="both"/>
    </w:pPr>
    <w:rPr>
      <w:b/>
      <w:sz w:val="24"/>
    </w:rPr>
  </w:style>
  <w:style w:type="paragraph" w:styleId="20">
    <w:name w:val="List Number 2"/>
    <w:basedOn w:val="a"/>
    <w:pPr>
      <w:numPr>
        <w:ilvl w:val="1"/>
        <w:numId w:val="4"/>
      </w:numPr>
      <w:tabs>
        <w:tab w:val="clear" w:pos="756"/>
        <w:tab w:val="num" w:pos="432"/>
      </w:tabs>
      <w:ind w:left="432" w:hanging="432"/>
    </w:pPr>
    <w:rPr>
      <w:sz w:val="20"/>
      <w:szCs w:val="20"/>
    </w:rPr>
  </w:style>
  <w:style w:type="paragraph" w:customStyle="1" w:styleId="3">
    <w:name w:val="Стиль3"/>
    <w:basedOn w:val="28"/>
    <w:pPr>
      <w:widowControl w:val="0"/>
      <w:numPr>
        <w:ilvl w:val="2"/>
        <w:numId w:val="4"/>
      </w:numPr>
      <w:spacing w:after="0" w:line="240" w:lineRule="auto"/>
      <w:jc w:val="both"/>
    </w:pPr>
    <w:rPr>
      <w:szCs w:val="20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paragraph" w:styleId="28">
    <w:name w:val="Body Text Indent 2"/>
    <w:basedOn w:val="a"/>
    <w:link w:val="29"/>
    <w:pPr>
      <w:spacing w:after="120" w:line="480" w:lineRule="auto"/>
      <w:ind w:left="283"/>
    </w:pPr>
    <w:rPr>
      <w:lang w:val="en-US" w:eastAsia="en-US"/>
    </w:rPr>
  </w:style>
  <w:style w:type="character" w:customStyle="1" w:styleId="29">
    <w:name w:val="Основной текст с отступом 2 Знак"/>
    <w:link w:val="28"/>
    <w:rPr>
      <w:sz w:val="24"/>
      <w:szCs w:val="24"/>
    </w:rPr>
  </w:style>
  <w:style w:type="paragraph" w:styleId="aff4">
    <w:name w:val="Normal (Web)"/>
    <w:basedOn w:val="a"/>
    <w:uiPriority w:val="99"/>
    <w:pPr>
      <w:spacing w:before="100" w:beforeAutospacing="1" w:after="100" w:afterAutospacing="1"/>
    </w:pPr>
  </w:style>
  <w:style w:type="character" w:customStyle="1" w:styleId="postbody1">
    <w:name w:val="postbody1"/>
    <w:rPr>
      <w:sz w:val="30"/>
      <w:szCs w:val="30"/>
    </w:rPr>
  </w:style>
  <w:style w:type="numbering" w:customStyle="1" w:styleId="14">
    <w:name w:val="Стиль1"/>
  </w:style>
  <w:style w:type="numbering" w:customStyle="1" w:styleId="43">
    <w:name w:val="Стиль4"/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rFonts w:eastAsia="Times New Roman" w:cs="Times New Roman"/>
      <w:b/>
      <w:sz w:val="28"/>
      <w:szCs w:val="24"/>
    </w:rPr>
  </w:style>
  <w:style w:type="character" w:customStyle="1" w:styleId="22">
    <w:name w:val="Заголовок 2 Знак"/>
    <w:link w:val="21"/>
    <w:uiPriority w:val="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oindent">
    <w:name w:val="noindent"/>
    <w:basedOn w:val="a"/>
    <w:pPr>
      <w:spacing w:before="100" w:beforeAutospacing="1" w:after="100" w:afterAutospacing="1"/>
    </w:pPr>
  </w:style>
  <w:style w:type="character" w:styleId="aff5">
    <w:name w:val="Strong"/>
    <w:uiPriority w:val="22"/>
    <w:qFormat/>
    <w:rPr>
      <w:b/>
      <w:bCs/>
    </w:rPr>
  </w:style>
  <w:style w:type="character" w:styleId="aff6">
    <w:name w:val="Emphasis"/>
    <w:uiPriority w:val="20"/>
    <w:qFormat/>
    <w:rPr>
      <w:i/>
      <w:iCs/>
    </w:rPr>
  </w:style>
  <w:style w:type="paragraph" w:customStyle="1" w:styleId="aff7">
    <w:name w:val="Структурный элемент заголовок"/>
    <w:basedOn w:val="a"/>
    <w:next w:val="a"/>
    <w:link w:val="aff8"/>
    <w:qFormat/>
    <w:pPr>
      <w:shd w:val="clear" w:color="auto" w:fill="FFFFFF"/>
      <w:tabs>
        <w:tab w:val="left" w:pos="1195"/>
      </w:tabs>
      <w:spacing w:before="120" w:after="120" w:line="360" w:lineRule="auto"/>
      <w:jc w:val="center"/>
      <w:outlineLvl w:val="0"/>
    </w:pPr>
    <w:rPr>
      <w:b/>
      <w:color w:val="000000"/>
      <w:sz w:val="28"/>
      <w:szCs w:val="28"/>
      <w:lang w:eastAsia="ar-SA"/>
    </w:rPr>
  </w:style>
  <w:style w:type="character" w:customStyle="1" w:styleId="aff8">
    <w:name w:val="Структурный элемент заголовок Знак"/>
    <w:link w:val="aff7"/>
    <w:rPr>
      <w:b/>
      <w:color w:val="000000"/>
      <w:sz w:val="28"/>
      <w:szCs w:val="28"/>
      <w:shd w:val="clear" w:color="auto" w:fill="FFFFF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AE4EB-79B0-4327-9CA4-150031021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ФГУ Россельхозцентра по МО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Воронкова</dc:creator>
  <cp:lastModifiedBy>Красовская С.В.</cp:lastModifiedBy>
  <cp:revision>2</cp:revision>
  <cp:lastPrinted>2026-07-29T04:56:00Z</cp:lastPrinted>
  <dcterms:created xsi:type="dcterms:W3CDTF">2026-07-29T04:59:00Z</dcterms:created>
  <dcterms:modified xsi:type="dcterms:W3CDTF">2026-07-29T04:59:00Z</dcterms:modified>
  <cp:version>983040</cp:version>
</cp:coreProperties>
</file>